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824F4D" w:rsidRPr="00FE33D1" w:rsidRDefault="004A433D" w:rsidP="00FE33D1">
            <w:pPr>
              <w:pStyle w:val="Sansinterligne"/>
              <w:jc w:val="center"/>
              <w:rPr>
                <w:sz w:val="36"/>
                <w:szCs w:val="36"/>
                <w:lang w:eastAsia="en-US"/>
              </w:rPr>
            </w:pPr>
            <w:r>
              <w:rPr>
                <w:sz w:val="36"/>
                <w:szCs w:val="36"/>
                <w:lang w:eastAsia="en-US"/>
              </w:rPr>
              <w:t xml:space="preserve"> </w:t>
            </w:r>
            <w:r w:rsidR="0015508A">
              <w:rPr>
                <w:sz w:val="36"/>
                <w:szCs w:val="36"/>
                <w:lang w:eastAsia="en-US"/>
              </w:rPr>
              <w:t>Quelles politiques économiques dans le cadre européen</w:t>
            </w:r>
            <w:r w:rsidR="00FE33D1" w:rsidRPr="00FE33D1">
              <w:rPr>
                <w:sz w:val="36"/>
                <w:szCs w:val="36"/>
                <w:lang w:eastAsia="en-US"/>
              </w:rPr>
              <w:t> ?</w:t>
            </w:r>
          </w:p>
          <w:p w:rsidR="00824F4D" w:rsidRPr="00FE33D1" w:rsidRDefault="00824F4D" w:rsidP="00FE33D1">
            <w:pPr>
              <w:pStyle w:val="Sansinterligne"/>
              <w:jc w:val="center"/>
              <w:rPr>
                <w:sz w:val="36"/>
                <w:szCs w:val="36"/>
                <w:lang w:eastAsia="en-US"/>
              </w:rPr>
            </w:pPr>
            <w:r w:rsidRPr="00FE33D1">
              <w:rPr>
                <w:sz w:val="36"/>
                <w:szCs w:val="36"/>
                <w:lang w:eastAsia="en-US"/>
              </w:rPr>
              <w:t>--</w:t>
            </w:r>
          </w:p>
          <w:p w:rsidR="00824F4D" w:rsidRPr="00FE33D1" w:rsidRDefault="00670CE9" w:rsidP="00FE33D1">
            <w:pPr>
              <w:pStyle w:val="Sansinterligne"/>
              <w:jc w:val="center"/>
              <w:rPr>
                <w:sz w:val="36"/>
                <w:szCs w:val="36"/>
                <w:lang w:eastAsia="en-US"/>
              </w:rPr>
            </w:pPr>
            <w:r>
              <w:rPr>
                <w:sz w:val="36"/>
                <w:szCs w:val="36"/>
                <w:lang w:eastAsia="en-US"/>
              </w:rPr>
              <w:t>L</w:t>
            </w:r>
            <w:r w:rsidR="0059493B">
              <w:rPr>
                <w:sz w:val="36"/>
                <w:szCs w:val="36"/>
                <w:lang w:eastAsia="en-US"/>
              </w:rPr>
              <w:t>es politiques conjoncturelles dans la zone euro</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Pr="00596EA5" w:rsidRDefault="00F664AE" w:rsidP="003A403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15508A">
        <w:rPr>
          <w:rFonts w:ascii="Calibri Light" w:hAnsi="Calibri Light" w:cs="Calibri Light"/>
          <w:b/>
          <w:color w:val="000000"/>
          <w:sz w:val="28"/>
          <w:szCs w:val="28"/>
        </w:rPr>
        <w:t>Vrai ou faux ?</w:t>
      </w:r>
      <w:r w:rsidR="00C41E81" w:rsidRPr="00596EA5">
        <w:rPr>
          <w:rFonts w:ascii="Calibri Light" w:hAnsi="Calibri Light" w:cs="Calibri Light"/>
          <w:b/>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3"/>
        <w:gridCol w:w="4478"/>
      </w:tblGrid>
      <w:tr w:rsidR="001C3A4D" w:rsidRPr="001C3A4D" w:rsidTr="00AB6842">
        <w:tc>
          <w:tcPr>
            <w:tcW w:w="5211" w:type="dxa"/>
            <w:shd w:val="clear" w:color="auto" w:fill="auto"/>
          </w:tcPr>
          <w:p w:rsidR="0015508A" w:rsidRPr="001C3A4D" w:rsidRDefault="0015508A" w:rsidP="003A4034">
            <w:pPr>
              <w:rPr>
                <w:rFonts w:ascii="Calibri Light" w:hAnsi="Calibri Light" w:cs="Calibri Light"/>
                <w:b/>
                <w:color w:val="000000"/>
                <w:sz w:val="24"/>
                <w:szCs w:val="24"/>
              </w:rPr>
            </w:pP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r w:rsidRPr="001C3A4D">
              <w:rPr>
                <w:rFonts w:ascii="Calibri Light" w:hAnsi="Calibri Light" w:cs="Calibri Light"/>
                <w:b/>
                <w:color w:val="000000"/>
                <w:sz w:val="24"/>
                <w:szCs w:val="24"/>
              </w:rPr>
              <w:t>Vrai ou faux ?</w:t>
            </w:r>
          </w:p>
        </w:tc>
        <w:tc>
          <w:tcPr>
            <w:tcW w:w="4478" w:type="dxa"/>
            <w:shd w:val="clear" w:color="auto" w:fill="auto"/>
          </w:tcPr>
          <w:p w:rsidR="0015508A" w:rsidRPr="001C3A4D" w:rsidRDefault="0015508A" w:rsidP="001C3A4D">
            <w:pPr>
              <w:jc w:val="center"/>
              <w:rPr>
                <w:rFonts w:ascii="Calibri Light" w:hAnsi="Calibri Light" w:cs="Calibri Light"/>
                <w:b/>
                <w:color w:val="000000"/>
                <w:sz w:val="24"/>
                <w:szCs w:val="24"/>
              </w:rPr>
            </w:pPr>
            <w:r w:rsidRPr="001C3A4D">
              <w:rPr>
                <w:rFonts w:ascii="Calibri Light" w:hAnsi="Calibri Light" w:cs="Calibri Light"/>
                <w:b/>
                <w:color w:val="000000"/>
                <w:sz w:val="24"/>
                <w:szCs w:val="24"/>
              </w:rPr>
              <w:t>Justification</w:t>
            </w:r>
          </w:p>
        </w:tc>
      </w:tr>
      <w:tr w:rsidR="001C3A4D" w:rsidRPr="001C3A4D" w:rsidTr="00AB6842">
        <w:tc>
          <w:tcPr>
            <w:tcW w:w="5211" w:type="dxa"/>
            <w:shd w:val="clear" w:color="auto" w:fill="auto"/>
          </w:tcPr>
          <w:p w:rsidR="0015508A" w:rsidRPr="001C3A4D" w:rsidRDefault="000871B7" w:rsidP="003A4034">
            <w:pPr>
              <w:rPr>
                <w:rFonts w:ascii="Calibri Light" w:hAnsi="Calibri Light" w:cs="Calibri Light"/>
                <w:bCs/>
                <w:color w:val="000000"/>
                <w:szCs w:val="20"/>
              </w:rPr>
            </w:pPr>
            <w:r>
              <w:rPr>
                <w:rFonts w:ascii="Calibri Light" w:hAnsi="Calibri Light" w:cs="Calibri Light"/>
                <w:bCs/>
                <w:color w:val="000000"/>
                <w:szCs w:val="20"/>
              </w:rPr>
              <w:t>Les politiques conjoncturelles sont des mesures prises par les pouvoirs publics qui affectent les variables de la conjoncture à court terme.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D03265" w:rsidRPr="001C3A4D" w:rsidRDefault="00D03265" w:rsidP="003A4034">
            <w:pPr>
              <w:rPr>
                <w:rFonts w:ascii="Calibri Light" w:hAnsi="Calibri Light" w:cs="Calibri Light"/>
                <w:bCs/>
                <w:color w:val="000000"/>
                <w:szCs w:val="20"/>
              </w:rPr>
            </w:pPr>
            <w:r>
              <w:rPr>
                <w:rFonts w:ascii="Calibri Light" w:hAnsi="Calibri Light" w:cs="Calibri Light"/>
                <w:bCs/>
                <w:color w:val="000000"/>
                <w:szCs w:val="20"/>
              </w:rPr>
              <w:t>La politique budgétaire au sein de la zone euro est conduite par une instance supranationale.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D03265" w:rsidP="003A4034">
            <w:pPr>
              <w:rPr>
                <w:rFonts w:ascii="Calibri Light" w:hAnsi="Calibri Light" w:cs="Calibri Light"/>
                <w:bCs/>
                <w:color w:val="000000"/>
                <w:szCs w:val="20"/>
              </w:rPr>
            </w:pPr>
            <w:r>
              <w:rPr>
                <w:rFonts w:ascii="Calibri Light" w:hAnsi="Calibri Light" w:cs="Calibri Light"/>
                <w:bCs/>
                <w:color w:val="000000"/>
                <w:szCs w:val="20"/>
              </w:rPr>
              <w:t>Une politique budgétaire de relance poursuit comme principal objectif la lutte contre l’endettement public.</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D03265" w:rsidP="003A4034">
            <w:pPr>
              <w:rPr>
                <w:rFonts w:ascii="Calibri Light" w:hAnsi="Calibri Light" w:cs="Calibri Light"/>
                <w:bCs/>
                <w:color w:val="000000"/>
                <w:szCs w:val="20"/>
              </w:rPr>
            </w:pPr>
            <w:r>
              <w:rPr>
                <w:rFonts w:ascii="Calibri Light" w:hAnsi="Calibri Light" w:cs="Calibri Light"/>
                <w:bCs/>
                <w:color w:val="000000"/>
                <w:szCs w:val="20"/>
              </w:rPr>
              <w:t>La BCE dispose de plusieurs instruments pour mener la politique monétaire de la zone euro.</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D03265" w:rsidP="003A4034">
            <w:pPr>
              <w:rPr>
                <w:rFonts w:ascii="Calibri Light" w:hAnsi="Calibri Light" w:cs="Calibri Light"/>
                <w:bCs/>
                <w:color w:val="000000"/>
                <w:szCs w:val="20"/>
              </w:rPr>
            </w:pPr>
            <w:r>
              <w:rPr>
                <w:rFonts w:ascii="Calibri Light" w:hAnsi="Calibri Light" w:cs="Calibri Light"/>
                <w:bCs/>
                <w:color w:val="000000"/>
                <w:szCs w:val="20"/>
              </w:rPr>
              <w:t>La principale mission de la BCE est d’assurer la stabilité des prix aux sein de la zone euro en maintenant le niveau de l’inflation proche mais inférieur à 5 %.</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bl>
    <w:p w:rsidR="00751914" w:rsidRDefault="00751914" w:rsidP="00751914">
      <w:pPr>
        <w:rPr>
          <w:rFonts w:ascii="Calibri Light" w:hAnsi="Calibri Light" w:cs="Calibri Light"/>
          <w:b/>
          <w:color w:val="000000"/>
          <w:sz w:val="28"/>
          <w:szCs w:val="28"/>
        </w:rPr>
      </w:pPr>
    </w:p>
    <w:p w:rsidR="00246A26" w:rsidRDefault="00751914" w:rsidP="0059493B">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sidR="000C1B58">
        <w:rPr>
          <w:rFonts w:ascii="Calibri Light" w:hAnsi="Calibri Light" w:cs="Calibri Light"/>
          <w:b/>
          <w:color w:val="000000"/>
          <w:sz w:val="28"/>
          <w:szCs w:val="28"/>
        </w:rPr>
        <w:t>Reliez les bons éléments :</w:t>
      </w:r>
    </w:p>
    <w:tbl>
      <w:tblPr>
        <w:tblW w:w="0" w:type="auto"/>
        <w:tblLook w:val="04A0"/>
      </w:tblPr>
      <w:tblGrid>
        <w:gridCol w:w="3227"/>
        <w:gridCol w:w="1843"/>
        <w:gridCol w:w="5536"/>
      </w:tblGrid>
      <w:tr w:rsidR="000C1B58" w:rsidRPr="000F2B0B" w:rsidTr="000F2B0B">
        <w:tc>
          <w:tcPr>
            <w:tcW w:w="3227" w:type="dxa"/>
            <w:shd w:val="clear" w:color="auto" w:fill="auto"/>
          </w:tcPr>
          <w:p w:rsidR="000C1B58" w:rsidRPr="000F2B0B" w:rsidRDefault="000C1B58" w:rsidP="000F2B0B">
            <w:pPr>
              <w:jc w:val="right"/>
              <w:rPr>
                <w:rFonts w:ascii="Calibri Light" w:hAnsi="Calibri Light" w:cs="Calibri Light"/>
                <w:bCs/>
                <w:color w:val="000000"/>
                <w:sz w:val="22"/>
              </w:rPr>
            </w:pPr>
            <w:r w:rsidRPr="000F2B0B">
              <w:rPr>
                <w:rFonts w:ascii="Calibri Light" w:hAnsi="Calibri Light" w:cs="Calibri Light"/>
                <w:bCs/>
                <w:color w:val="000000"/>
                <w:sz w:val="22"/>
              </w:rPr>
              <w:t>Politique budgétaire de relance</w:t>
            </w:r>
            <w:r w:rsidR="000F2B0B" w:rsidRPr="000F2B0B">
              <w:rPr>
                <w:rFonts w:ascii="Calibri Light" w:hAnsi="Calibri Light" w:cs="Calibri Light"/>
                <w:bCs/>
                <w:color w:val="000000"/>
                <w:sz w:val="22"/>
              </w:rPr>
              <w:t xml:space="preserve"> ●</w:t>
            </w:r>
          </w:p>
        </w:tc>
        <w:tc>
          <w:tcPr>
            <w:tcW w:w="1843" w:type="dxa"/>
            <w:shd w:val="clear" w:color="auto" w:fill="auto"/>
          </w:tcPr>
          <w:p w:rsidR="000C1B58" w:rsidRPr="000F2B0B" w:rsidRDefault="000C1B58" w:rsidP="0059493B">
            <w:pPr>
              <w:rPr>
                <w:rFonts w:ascii="Calibri Light" w:hAnsi="Calibri Light" w:cs="Calibri Light"/>
                <w:bCs/>
                <w:color w:val="000000"/>
                <w:sz w:val="22"/>
              </w:rPr>
            </w:pPr>
          </w:p>
        </w:tc>
        <w:tc>
          <w:tcPr>
            <w:tcW w:w="5536" w:type="dxa"/>
            <w:shd w:val="clear" w:color="auto" w:fill="auto"/>
          </w:tcPr>
          <w:p w:rsidR="000C1B58" w:rsidRPr="000F2B0B" w:rsidRDefault="000F2B0B" w:rsidP="0059493B">
            <w:pPr>
              <w:rPr>
                <w:rFonts w:ascii="Calibri Light" w:hAnsi="Calibri Light" w:cs="Calibri Light"/>
                <w:bCs/>
                <w:color w:val="000000"/>
                <w:sz w:val="22"/>
              </w:rPr>
            </w:pPr>
            <w:r w:rsidRPr="000F2B0B">
              <w:rPr>
                <w:rFonts w:ascii="Calibri Light" w:hAnsi="Calibri Light" w:cs="Calibri Light"/>
                <w:bCs/>
                <w:color w:val="000000"/>
                <w:sz w:val="22"/>
              </w:rPr>
              <w:t xml:space="preserve">● </w:t>
            </w:r>
            <w:r w:rsidR="000C1B58" w:rsidRPr="000F2B0B">
              <w:rPr>
                <w:rFonts w:ascii="Calibri Light" w:hAnsi="Calibri Light" w:cs="Calibri Light"/>
                <w:bCs/>
                <w:color w:val="000000"/>
                <w:sz w:val="22"/>
              </w:rPr>
              <w:t xml:space="preserve">Diminution du taux directeur et/ou du taux de réserves obligatoires et/ou du taux </w:t>
            </w:r>
            <w:r w:rsidR="00A87A0F">
              <w:rPr>
                <w:rFonts w:ascii="Calibri Light" w:hAnsi="Calibri Light" w:cs="Calibri Light"/>
                <w:bCs/>
                <w:color w:val="000000"/>
                <w:sz w:val="22"/>
              </w:rPr>
              <w:t>de la facilité de dépôt.</w:t>
            </w:r>
          </w:p>
        </w:tc>
      </w:tr>
      <w:tr w:rsidR="000C1B58" w:rsidRPr="000F2B0B" w:rsidTr="000F2B0B">
        <w:tc>
          <w:tcPr>
            <w:tcW w:w="3227" w:type="dxa"/>
            <w:shd w:val="clear" w:color="auto" w:fill="auto"/>
          </w:tcPr>
          <w:p w:rsidR="000C1B58" w:rsidRPr="000F2B0B" w:rsidRDefault="000C1B58" w:rsidP="000F2B0B">
            <w:pPr>
              <w:jc w:val="right"/>
              <w:rPr>
                <w:rFonts w:ascii="Calibri Light" w:hAnsi="Calibri Light" w:cs="Calibri Light"/>
                <w:bCs/>
                <w:color w:val="000000"/>
                <w:sz w:val="22"/>
              </w:rPr>
            </w:pPr>
            <w:r w:rsidRPr="000F2B0B">
              <w:rPr>
                <w:rFonts w:ascii="Calibri Light" w:hAnsi="Calibri Light" w:cs="Calibri Light"/>
                <w:bCs/>
                <w:color w:val="000000"/>
                <w:sz w:val="22"/>
              </w:rPr>
              <w:t>Politique budgétaire d’austérité</w:t>
            </w:r>
            <w:r w:rsidR="000F2B0B" w:rsidRPr="000F2B0B">
              <w:rPr>
                <w:rFonts w:ascii="Calibri Light" w:hAnsi="Calibri Light" w:cs="Calibri Light"/>
                <w:bCs/>
                <w:color w:val="000000"/>
                <w:sz w:val="22"/>
              </w:rPr>
              <w:t>●</w:t>
            </w:r>
          </w:p>
        </w:tc>
        <w:tc>
          <w:tcPr>
            <w:tcW w:w="1843" w:type="dxa"/>
            <w:shd w:val="clear" w:color="auto" w:fill="auto"/>
          </w:tcPr>
          <w:p w:rsidR="000C1B58" w:rsidRPr="000F2B0B" w:rsidRDefault="000C1B58" w:rsidP="0059493B">
            <w:pPr>
              <w:rPr>
                <w:rFonts w:ascii="Calibri Light" w:hAnsi="Calibri Light" w:cs="Calibri Light"/>
                <w:bCs/>
                <w:color w:val="000000"/>
                <w:sz w:val="22"/>
              </w:rPr>
            </w:pPr>
          </w:p>
        </w:tc>
        <w:tc>
          <w:tcPr>
            <w:tcW w:w="5536" w:type="dxa"/>
            <w:shd w:val="clear" w:color="auto" w:fill="auto"/>
          </w:tcPr>
          <w:p w:rsidR="000C1B58" w:rsidRPr="000F2B0B" w:rsidRDefault="000F2B0B" w:rsidP="0059493B">
            <w:pPr>
              <w:rPr>
                <w:rFonts w:ascii="Calibri Light" w:hAnsi="Calibri Light" w:cs="Calibri Light"/>
                <w:bCs/>
                <w:color w:val="000000"/>
                <w:sz w:val="22"/>
              </w:rPr>
            </w:pPr>
            <w:r w:rsidRPr="000F2B0B">
              <w:rPr>
                <w:rFonts w:ascii="Calibri Light" w:hAnsi="Calibri Light" w:cs="Calibri Light"/>
                <w:bCs/>
                <w:color w:val="000000"/>
                <w:sz w:val="22"/>
              </w:rPr>
              <w:t>● Assouplissement quantitatif par rachat de titres de dette.</w:t>
            </w:r>
          </w:p>
        </w:tc>
      </w:tr>
      <w:tr w:rsidR="000C1B58" w:rsidRPr="000F2B0B" w:rsidTr="000F2B0B">
        <w:tc>
          <w:tcPr>
            <w:tcW w:w="3227" w:type="dxa"/>
            <w:shd w:val="clear" w:color="auto" w:fill="auto"/>
          </w:tcPr>
          <w:p w:rsidR="000C1B58" w:rsidRPr="000F2B0B" w:rsidRDefault="000C1B58" w:rsidP="000F2B0B">
            <w:pPr>
              <w:jc w:val="right"/>
              <w:rPr>
                <w:rFonts w:ascii="Calibri Light" w:hAnsi="Calibri Light" w:cs="Calibri Light"/>
                <w:bCs/>
                <w:color w:val="000000"/>
                <w:sz w:val="22"/>
              </w:rPr>
            </w:pPr>
            <w:r w:rsidRPr="000F2B0B">
              <w:rPr>
                <w:rFonts w:ascii="Calibri Light" w:hAnsi="Calibri Light" w:cs="Calibri Light"/>
                <w:bCs/>
                <w:color w:val="000000"/>
                <w:sz w:val="22"/>
              </w:rPr>
              <w:t>Politique monétaire conventionnelle expansive</w:t>
            </w:r>
            <w:r w:rsidR="000F2B0B" w:rsidRPr="000F2B0B">
              <w:rPr>
                <w:rFonts w:ascii="Calibri Light" w:hAnsi="Calibri Light" w:cs="Calibri Light"/>
                <w:bCs/>
                <w:color w:val="000000"/>
                <w:sz w:val="22"/>
              </w:rPr>
              <w:t>●</w:t>
            </w:r>
          </w:p>
        </w:tc>
        <w:tc>
          <w:tcPr>
            <w:tcW w:w="1843" w:type="dxa"/>
            <w:shd w:val="clear" w:color="auto" w:fill="auto"/>
          </w:tcPr>
          <w:p w:rsidR="000C1B58" w:rsidRPr="000F2B0B" w:rsidRDefault="000C1B58" w:rsidP="0059493B">
            <w:pPr>
              <w:rPr>
                <w:rFonts w:ascii="Calibri Light" w:hAnsi="Calibri Light" w:cs="Calibri Light"/>
                <w:bCs/>
                <w:color w:val="000000"/>
                <w:sz w:val="22"/>
              </w:rPr>
            </w:pPr>
          </w:p>
        </w:tc>
        <w:tc>
          <w:tcPr>
            <w:tcW w:w="5536" w:type="dxa"/>
            <w:shd w:val="clear" w:color="auto" w:fill="auto"/>
          </w:tcPr>
          <w:p w:rsidR="000C1B58" w:rsidRPr="000F2B0B" w:rsidRDefault="000F2B0B" w:rsidP="0059493B">
            <w:pPr>
              <w:rPr>
                <w:rFonts w:ascii="Calibri Light" w:hAnsi="Calibri Light" w:cs="Calibri Light"/>
                <w:bCs/>
                <w:color w:val="000000"/>
                <w:sz w:val="22"/>
              </w:rPr>
            </w:pPr>
            <w:r w:rsidRPr="000F2B0B">
              <w:rPr>
                <w:rFonts w:ascii="Calibri Light" w:hAnsi="Calibri Light" w:cs="Calibri Light"/>
                <w:bCs/>
                <w:color w:val="000000"/>
                <w:sz w:val="22"/>
              </w:rPr>
              <w:t xml:space="preserve">● </w:t>
            </w:r>
            <w:r w:rsidR="000C1B58" w:rsidRPr="000F2B0B">
              <w:rPr>
                <w:rFonts w:ascii="Calibri Light" w:hAnsi="Calibri Light" w:cs="Calibri Light"/>
                <w:bCs/>
                <w:color w:val="000000"/>
                <w:sz w:val="22"/>
              </w:rPr>
              <w:t>Augmentation des dépenses publiques et/ou diminution des recettes publiques.</w:t>
            </w:r>
          </w:p>
        </w:tc>
      </w:tr>
      <w:tr w:rsidR="000C1B58" w:rsidRPr="000F2B0B" w:rsidTr="000F2B0B">
        <w:tc>
          <w:tcPr>
            <w:tcW w:w="3227" w:type="dxa"/>
            <w:shd w:val="clear" w:color="auto" w:fill="auto"/>
          </w:tcPr>
          <w:p w:rsidR="000C1B58" w:rsidRPr="000F2B0B" w:rsidRDefault="000C1B58" w:rsidP="000F2B0B">
            <w:pPr>
              <w:jc w:val="right"/>
              <w:rPr>
                <w:rFonts w:ascii="Calibri Light" w:hAnsi="Calibri Light" w:cs="Calibri Light"/>
                <w:bCs/>
                <w:color w:val="000000"/>
                <w:sz w:val="22"/>
              </w:rPr>
            </w:pPr>
            <w:r w:rsidRPr="000F2B0B">
              <w:rPr>
                <w:rFonts w:ascii="Calibri Light" w:hAnsi="Calibri Light" w:cs="Calibri Light"/>
                <w:bCs/>
                <w:color w:val="000000"/>
                <w:sz w:val="22"/>
              </w:rPr>
              <w:t>Politique monétaire conventionnelle restrictive</w:t>
            </w:r>
            <w:r w:rsidR="000F2B0B" w:rsidRPr="000F2B0B">
              <w:rPr>
                <w:rFonts w:ascii="Calibri Light" w:hAnsi="Calibri Light" w:cs="Calibri Light"/>
                <w:bCs/>
                <w:color w:val="000000"/>
                <w:sz w:val="22"/>
              </w:rPr>
              <w:t>●</w:t>
            </w:r>
          </w:p>
        </w:tc>
        <w:tc>
          <w:tcPr>
            <w:tcW w:w="1843" w:type="dxa"/>
            <w:shd w:val="clear" w:color="auto" w:fill="auto"/>
          </w:tcPr>
          <w:p w:rsidR="000C1B58" w:rsidRPr="000F2B0B" w:rsidRDefault="000C1B58" w:rsidP="0059493B">
            <w:pPr>
              <w:rPr>
                <w:rFonts w:ascii="Calibri Light" w:hAnsi="Calibri Light" w:cs="Calibri Light"/>
                <w:bCs/>
                <w:color w:val="000000"/>
                <w:sz w:val="22"/>
              </w:rPr>
            </w:pPr>
          </w:p>
        </w:tc>
        <w:tc>
          <w:tcPr>
            <w:tcW w:w="5536" w:type="dxa"/>
            <w:shd w:val="clear" w:color="auto" w:fill="auto"/>
          </w:tcPr>
          <w:p w:rsidR="000C1B58" w:rsidRPr="000F2B0B" w:rsidRDefault="000F2B0B" w:rsidP="0059493B">
            <w:pPr>
              <w:rPr>
                <w:rFonts w:ascii="Calibri Light" w:hAnsi="Calibri Light" w:cs="Calibri Light"/>
                <w:bCs/>
                <w:color w:val="000000"/>
                <w:sz w:val="22"/>
              </w:rPr>
            </w:pPr>
            <w:r w:rsidRPr="000F2B0B">
              <w:rPr>
                <w:rFonts w:ascii="Calibri Light" w:hAnsi="Calibri Light" w:cs="Calibri Light"/>
                <w:bCs/>
                <w:color w:val="000000"/>
                <w:sz w:val="22"/>
              </w:rPr>
              <w:t xml:space="preserve">● </w:t>
            </w:r>
            <w:r w:rsidR="000C1B58" w:rsidRPr="000F2B0B">
              <w:rPr>
                <w:rFonts w:ascii="Calibri Light" w:hAnsi="Calibri Light" w:cs="Calibri Light"/>
                <w:bCs/>
                <w:color w:val="000000"/>
                <w:sz w:val="22"/>
              </w:rPr>
              <w:t xml:space="preserve">Augmentation du taux directeur et/ou du taux de réserves obligatoires et/ou du taux </w:t>
            </w:r>
            <w:r w:rsidR="00BC43E7">
              <w:rPr>
                <w:rFonts w:ascii="Calibri Light" w:hAnsi="Calibri Light" w:cs="Calibri Light"/>
                <w:bCs/>
                <w:color w:val="000000"/>
                <w:sz w:val="22"/>
              </w:rPr>
              <w:t>de la facilité de dépôt</w:t>
            </w:r>
            <w:r w:rsidR="000C1B58" w:rsidRPr="000F2B0B">
              <w:rPr>
                <w:rFonts w:ascii="Calibri Light" w:hAnsi="Calibri Light" w:cs="Calibri Light"/>
                <w:bCs/>
                <w:color w:val="000000"/>
                <w:sz w:val="22"/>
              </w:rPr>
              <w:t>.</w:t>
            </w:r>
          </w:p>
        </w:tc>
      </w:tr>
      <w:tr w:rsidR="000C1B58" w:rsidRPr="000F2B0B" w:rsidTr="000F2B0B">
        <w:tc>
          <w:tcPr>
            <w:tcW w:w="3227" w:type="dxa"/>
            <w:shd w:val="clear" w:color="auto" w:fill="auto"/>
          </w:tcPr>
          <w:p w:rsidR="000C1B58" w:rsidRPr="000F2B0B" w:rsidRDefault="000F2B0B" w:rsidP="000F2B0B">
            <w:pPr>
              <w:jc w:val="right"/>
              <w:rPr>
                <w:rFonts w:ascii="Calibri Light" w:hAnsi="Calibri Light" w:cs="Calibri Light"/>
                <w:bCs/>
                <w:color w:val="000000"/>
                <w:sz w:val="22"/>
              </w:rPr>
            </w:pPr>
            <w:r w:rsidRPr="000F2B0B">
              <w:rPr>
                <w:rFonts w:ascii="Calibri Light" w:hAnsi="Calibri Light" w:cs="Calibri Light"/>
                <w:bCs/>
                <w:color w:val="000000"/>
                <w:sz w:val="22"/>
              </w:rPr>
              <w:t>Politique monétaire non conventionnelle●</w:t>
            </w:r>
          </w:p>
        </w:tc>
        <w:tc>
          <w:tcPr>
            <w:tcW w:w="1843" w:type="dxa"/>
            <w:shd w:val="clear" w:color="auto" w:fill="auto"/>
          </w:tcPr>
          <w:p w:rsidR="000C1B58" w:rsidRPr="000F2B0B" w:rsidRDefault="000C1B58" w:rsidP="0059493B">
            <w:pPr>
              <w:rPr>
                <w:rFonts w:ascii="Calibri Light" w:hAnsi="Calibri Light" w:cs="Calibri Light"/>
                <w:bCs/>
                <w:color w:val="000000"/>
                <w:sz w:val="22"/>
              </w:rPr>
            </w:pPr>
          </w:p>
        </w:tc>
        <w:tc>
          <w:tcPr>
            <w:tcW w:w="5536" w:type="dxa"/>
            <w:shd w:val="clear" w:color="auto" w:fill="auto"/>
          </w:tcPr>
          <w:p w:rsidR="000C1B58" w:rsidRPr="000F2B0B" w:rsidRDefault="000F2B0B" w:rsidP="0059493B">
            <w:pPr>
              <w:rPr>
                <w:rFonts w:ascii="Calibri Light" w:hAnsi="Calibri Light" w:cs="Calibri Light"/>
                <w:bCs/>
                <w:color w:val="000000"/>
                <w:sz w:val="22"/>
              </w:rPr>
            </w:pPr>
            <w:r w:rsidRPr="000F2B0B">
              <w:rPr>
                <w:rFonts w:ascii="Calibri Light" w:hAnsi="Calibri Light" w:cs="Calibri Light"/>
                <w:bCs/>
                <w:color w:val="000000"/>
                <w:sz w:val="22"/>
              </w:rPr>
              <w:t xml:space="preserve">● </w:t>
            </w:r>
            <w:r w:rsidR="000C1B58" w:rsidRPr="000F2B0B">
              <w:rPr>
                <w:rFonts w:ascii="Calibri Light" w:hAnsi="Calibri Light" w:cs="Calibri Light"/>
                <w:bCs/>
                <w:color w:val="000000"/>
                <w:sz w:val="22"/>
              </w:rPr>
              <w:t>Diminution des dépenses publiques et/ou augmentation des recettes publiques.</w:t>
            </w:r>
          </w:p>
        </w:tc>
      </w:tr>
    </w:tbl>
    <w:p w:rsidR="000C1B58" w:rsidRPr="00AB6842" w:rsidRDefault="000C1B58" w:rsidP="0059493B">
      <w:pPr>
        <w:rPr>
          <w:rFonts w:ascii="Calibri Light" w:hAnsi="Calibri Light" w:cs="Calibri Light"/>
          <w:bCs/>
          <w:color w:val="000000"/>
          <w:sz w:val="22"/>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Étape 2 : travail sur documents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A13627" w:rsidRDefault="00A13627" w:rsidP="00294ADA">
      <w:pPr>
        <w:rPr>
          <w:rFonts w:ascii="Calibri Light" w:hAnsi="Calibri Light" w:cs="Calibri Light"/>
          <w:b/>
          <w:color w:val="000000"/>
          <w:sz w:val="28"/>
          <w:szCs w:val="28"/>
        </w:rPr>
      </w:pPr>
    </w:p>
    <w:p w:rsidR="00C250FA" w:rsidRDefault="00C250FA" w:rsidP="00C250FA">
      <w:pPr>
        <w:rPr>
          <w:rFonts w:ascii="Calibri Light" w:hAnsi="Calibri Light" w:cs="Calibri Light"/>
          <w:b/>
          <w:color w:val="000000"/>
          <w:sz w:val="28"/>
          <w:szCs w:val="28"/>
        </w:rPr>
      </w:pPr>
      <w:r>
        <w:rPr>
          <w:rFonts w:ascii="Calibri Light" w:hAnsi="Calibri Light" w:cs="Calibri Light"/>
          <w:b/>
          <w:color w:val="000000"/>
          <w:sz w:val="28"/>
          <w:szCs w:val="28"/>
        </w:rPr>
        <w:t>Document 1 : Qu’est-ce que la politique budgétaire ?</w:t>
      </w:r>
    </w:p>
    <w:p w:rsidR="00C250FA" w:rsidRPr="00132B8B" w:rsidRDefault="00C250FA" w:rsidP="00C250FA">
      <w:pPr>
        <w:spacing w:before="100" w:beforeAutospacing="1" w:after="100" w:afterAutospacing="1" w:line="240" w:lineRule="auto"/>
        <w:ind w:firstLine="708"/>
        <w:rPr>
          <w:rFonts w:ascii="Calibri Light" w:eastAsia="Times New Roman" w:hAnsi="Calibri Light" w:cs="Calibri Light"/>
          <w:sz w:val="24"/>
          <w:szCs w:val="24"/>
          <w:lang w:eastAsia="fr-FR"/>
        </w:rPr>
      </w:pPr>
      <w:r w:rsidRPr="00132B8B">
        <w:rPr>
          <w:rFonts w:ascii="Calibri Light" w:eastAsia="Times New Roman" w:hAnsi="Calibri Light" w:cs="Calibri Light"/>
          <w:sz w:val="24"/>
          <w:szCs w:val="24"/>
          <w:lang w:eastAsia="fr-FR"/>
        </w:rPr>
        <w:t>Avant les années 1930, la fonction principale du budget de l’État était d’assurer le financement des administrations (des services publics). On ne lui attribuait pas de rôle économique. La gravité de la crise de 1929 va conduire les pouvoirs publics à considérer le budget de l’État comme un levier de la politique économique. Les travaux de l’économiste britannique J. M. Keynes montrant que l’utilisation du budget pouvait avoir une influence sur la demande des agents économiques (consommation, investissement) et, par conséquent sur le niveau de l’activité, vont donner un fondement théorique à cette nouvelle approche.</w:t>
      </w:r>
    </w:p>
    <w:p w:rsidR="00C250FA" w:rsidRPr="00132B8B" w:rsidRDefault="00C250FA" w:rsidP="00C250FA">
      <w:pPr>
        <w:spacing w:before="100" w:beforeAutospacing="1" w:after="100" w:afterAutospacing="1" w:line="240" w:lineRule="auto"/>
        <w:ind w:firstLine="708"/>
        <w:rPr>
          <w:rFonts w:ascii="Calibri Light" w:eastAsia="Times New Roman" w:hAnsi="Calibri Light" w:cs="Calibri Light"/>
          <w:sz w:val="24"/>
          <w:szCs w:val="24"/>
          <w:lang w:eastAsia="fr-FR"/>
        </w:rPr>
      </w:pPr>
      <w:r w:rsidRPr="00132B8B">
        <w:rPr>
          <w:rFonts w:ascii="Calibri Light" w:eastAsia="Times New Roman" w:hAnsi="Calibri Light" w:cs="Calibri Light"/>
          <w:sz w:val="24"/>
          <w:szCs w:val="24"/>
          <w:lang w:eastAsia="fr-FR"/>
        </w:rPr>
        <w:t>La politique budgétaire est un levier de la politique de régulation de la conjoncture. Elle peut être utilisée dans deux situations opposées. En période de ralentissement de la croissance ou de crise, elle va servir à soutenir l’activité économique. On parle de politique de relance budgétaire. Au contraire, dans les phases de forte croissance, pendant lesquelles la surchauffe de l’activité économique peut provoquer de l’inflation (hausse des prix) ou des déficits extérieurs importants (déséquilibre des échanges avec le reste du monde), elle permet de freiner l’activité en réduisant la demande des agents économiques. On parle de politique de rigueur budgétaire.</w:t>
      </w:r>
    </w:p>
    <w:p w:rsidR="00C250FA" w:rsidRPr="00EF5A9C" w:rsidRDefault="00C250FA" w:rsidP="00C250FA">
      <w:pPr>
        <w:rPr>
          <w:rFonts w:ascii="Calibri Light" w:hAnsi="Calibri Light" w:cs="Calibri Light"/>
          <w:bCs/>
          <w:color w:val="000000"/>
          <w:sz w:val="24"/>
          <w:szCs w:val="24"/>
        </w:rPr>
      </w:pPr>
      <w:r w:rsidRPr="00EF5A9C">
        <w:rPr>
          <w:rFonts w:ascii="Calibri Light" w:hAnsi="Calibri Light" w:cs="Calibri Light"/>
          <w:bCs/>
          <w:color w:val="000000"/>
          <w:sz w:val="24"/>
          <w:szCs w:val="24"/>
        </w:rPr>
        <w:t xml:space="preserve">Source : </w:t>
      </w:r>
      <w:hyperlink r:id="rId5" w:history="1">
        <w:r w:rsidRPr="00EF5A9C">
          <w:rPr>
            <w:rStyle w:val="Lienhypertexte"/>
            <w:rFonts w:ascii="Calibri Light" w:hAnsi="Calibri Light" w:cs="Calibri Light"/>
            <w:bCs/>
            <w:sz w:val="24"/>
            <w:szCs w:val="24"/>
          </w:rPr>
          <w:t>https://www.vie-publique.fr/fiches/270251-quest-ce-quune-politique-budgetaire</w:t>
        </w:r>
      </w:hyperlink>
    </w:p>
    <w:p w:rsidR="00C250FA" w:rsidRPr="00FB76F6" w:rsidRDefault="00EF5A9C" w:rsidP="00FB76F6">
      <w:pPr>
        <w:numPr>
          <w:ilvl w:val="0"/>
          <w:numId w:val="32"/>
        </w:numPr>
        <w:spacing w:after="0" w:line="240" w:lineRule="auto"/>
        <w:ind w:left="714" w:hanging="357"/>
        <w:rPr>
          <w:rFonts w:ascii="Calibri Light" w:hAnsi="Calibri Light" w:cs="Calibri Light"/>
          <w:bCs/>
          <w:color w:val="000000"/>
          <w:sz w:val="24"/>
          <w:szCs w:val="24"/>
        </w:rPr>
      </w:pPr>
      <w:r w:rsidRPr="00FB76F6">
        <w:rPr>
          <w:rFonts w:ascii="Calibri Light" w:hAnsi="Calibri Light" w:cs="Calibri Light"/>
          <w:bCs/>
          <w:color w:val="000000"/>
          <w:sz w:val="24"/>
          <w:szCs w:val="24"/>
        </w:rPr>
        <w:t>Dans quel contexte le budget de l’Etat a-t-il commencé à être considéré comme un véritable outil de politique économique ?</w:t>
      </w:r>
    </w:p>
    <w:p w:rsidR="00EF5A9C" w:rsidRPr="00FB76F6" w:rsidRDefault="00EF5A9C" w:rsidP="00FB76F6">
      <w:pPr>
        <w:numPr>
          <w:ilvl w:val="0"/>
          <w:numId w:val="32"/>
        </w:numPr>
        <w:spacing w:after="0" w:line="240" w:lineRule="auto"/>
        <w:ind w:left="714" w:hanging="357"/>
        <w:rPr>
          <w:rFonts w:ascii="Calibri Light" w:hAnsi="Calibri Light" w:cs="Calibri Light"/>
          <w:bCs/>
          <w:color w:val="000000"/>
          <w:sz w:val="24"/>
          <w:szCs w:val="24"/>
        </w:rPr>
      </w:pPr>
      <w:r w:rsidRPr="00FB76F6">
        <w:rPr>
          <w:rFonts w:ascii="Calibri Light" w:hAnsi="Calibri Light" w:cs="Calibri Light"/>
          <w:bCs/>
          <w:color w:val="000000"/>
          <w:sz w:val="24"/>
          <w:szCs w:val="24"/>
        </w:rPr>
        <w:t>Dans quelle situation conjoncturelle est-il pertinent de mener une politique de relance ? Une po</w:t>
      </w:r>
      <w:r w:rsidR="00FB76F6" w:rsidRPr="00FB76F6">
        <w:rPr>
          <w:rFonts w:ascii="Calibri Light" w:hAnsi="Calibri Light" w:cs="Calibri Light"/>
          <w:bCs/>
          <w:color w:val="000000"/>
          <w:sz w:val="24"/>
          <w:szCs w:val="24"/>
        </w:rPr>
        <w:t>litique de rigueur ?</w:t>
      </w:r>
    </w:p>
    <w:p w:rsidR="00FB76F6" w:rsidRDefault="00FB76F6" w:rsidP="00FB76F6">
      <w:pPr>
        <w:numPr>
          <w:ilvl w:val="0"/>
          <w:numId w:val="32"/>
        </w:numPr>
        <w:spacing w:after="0" w:line="240" w:lineRule="auto"/>
        <w:ind w:left="714" w:hanging="357"/>
        <w:rPr>
          <w:rFonts w:ascii="Calibri Light" w:hAnsi="Calibri Light" w:cs="Calibri Light"/>
          <w:bCs/>
          <w:color w:val="000000"/>
          <w:sz w:val="24"/>
          <w:szCs w:val="24"/>
        </w:rPr>
      </w:pPr>
      <w:r w:rsidRPr="00FB76F6">
        <w:rPr>
          <w:rFonts w:ascii="Calibri Light" w:hAnsi="Calibri Light" w:cs="Calibri Light"/>
          <w:bCs/>
          <w:color w:val="000000"/>
          <w:sz w:val="24"/>
          <w:szCs w:val="24"/>
        </w:rPr>
        <w:t>Comment mener une politique de de relance budgétaire ?</w:t>
      </w:r>
    </w:p>
    <w:p w:rsidR="00FB76F6" w:rsidRPr="00FB76F6" w:rsidRDefault="00FB76F6" w:rsidP="00FB76F6">
      <w:pPr>
        <w:numPr>
          <w:ilvl w:val="0"/>
          <w:numId w:val="32"/>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Quels sont les risques d’une telle politique ?</w:t>
      </w:r>
    </w:p>
    <w:p w:rsidR="00C250FA" w:rsidRDefault="00C250FA" w:rsidP="00294ADA">
      <w:pPr>
        <w:rPr>
          <w:rFonts w:ascii="Calibri Light" w:hAnsi="Calibri Light" w:cs="Calibri Light"/>
          <w:b/>
          <w:color w:val="000000"/>
          <w:sz w:val="28"/>
          <w:szCs w:val="28"/>
        </w:rPr>
      </w:pPr>
    </w:p>
    <w:p w:rsidR="00CD0C32" w:rsidRDefault="00CD0C32" w:rsidP="00294AD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C250FA">
        <w:rPr>
          <w:rFonts w:ascii="Calibri Light" w:hAnsi="Calibri Light" w:cs="Calibri Light"/>
          <w:b/>
          <w:color w:val="000000"/>
          <w:sz w:val="28"/>
          <w:szCs w:val="28"/>
        </w:rPr>
        <w:t>2</w:t>
      </w:r>
      <w:r>
        <w:rPr>
          <w:rFonts w:ascii="Calibri Light" w:hAnsi="Calibri Light" w:cs="Calibri Light"/>
          <w:b/>
          <w:color w:val="000000"/>
          <w:sz w:val="28"/>
          <w:szCs w:val="28"/>
        </w:rPr>
        <w:t xml:space="preserve"> : </w:t>
      </w:r>
      <w:r w:rsidR="00FB76F6">
        <w:rPr>
          <w:rFonts w:ascii="Calibri Light" w:hAnsi="Calibri Light" w:cs="Calibri Light"/>
          <w:b/>
          <w:color w:val="000000"/>
          <w:sz w:val="28"/>
          <w:szCs w:val="28"/>
        </w:rPr>
        <w:t>L</w:t>
      </w:r>
      <w:r w:rsidR="00BC5C61">
        <w:rPr>
          <w:rFonts w:ascii="Calibri Light" w:hAnsi="Calibri Light" w:cs="Calibri Light"/>
          <w:b/>
          <w:color w:val="000000"/>
          <w:sz w:val="28"/>
          <w:szCs w:val="28"/>
        </w:rPr>
        <w:t xml:space="preserve">e plan de relance français </w:t>
      </w:r>
      <w:r w:rsidR="00FB76F6">
        <w:rPr>
          <w:rFonts w:ascii="Calibri Light" w:hAnsi="Calibri Light" w:cs="Calibri Light"/>
          <w:b/>
          <w:color w:val="000000"/>
          <w:sz w:val="28"/>
          <w:szCs w:val="28"/>
        </w:rPr>
        <w:t>de 2008</w:t>
      </w:r>
    </w:p>
    <w:p w:rsidR="001B4E08" w:rsidRPr="00132B8B" w:rsidRDefault="001B4E08" w:rsidP="001B4E08">
      <w:pPr>
        <w:pStyle w:val="Corpsdetexte"/>
        <w:autoSpaceDE w:val="0"/>
        <w:spacing w:before="0" w:line="276" w:lineRule="auto"/>
        <w:rPr>
          <w:rFonts w:ascii="Calibri Light" w:hAnsi="Calibri Light" w:cs="Calibri Light"/>
          <w:sz w:val="24"/>
          <w:szCs w:val="24"/>
        </w:rPr>
      </w:pPr>
      <w:r w:rsidRPr="00132B8B">
        <w:rPr>
          <w:rStyle w:val="lev"/>
          <w:rFonts w:ascii="Calibri Light" w:hAnsi="Calibri Light" w:cs="Calibri Light"/>
          <w:b w:val="0"/>
          <w:bCs w:val="0"/>
          <w:sz w:val="24"/>
          <w:szCs w:val="24"/>
        </w:rPr>
        <w:t>Le plan de relance annoncé la 4 décembre 2008</w:t>
      </w:r>
      <w:r w:rsidRPr="00132B8B">
        <w:rPr>
          <w:rFonts w:ascii="Calibri Light" w:hAnsi="Calibri Light" w:cs="Calibri Light"/>
          <w:sz w:val="24"/>
          <w:szCs w:val="24"/>
        </w:rPr>
        <w:t xml:space="preserve"> par le Président de la République assume par contre une augmentation de la dépense publique évaluée à 26 milliards d’euros sur deux ans. Les principales mesures annoncées portent sur :</w:t>
      </w:r>
    </w:p>
    <w:p w:rsidR="001B4E08" w:rsidRPr="00132B8B" w:rsidRDefault="001B4E08" w:rsidP="001B4E08">
      <w:pPr>
        <w:pStyle w:val="Corpsdetexte"/>
        <w:tabs>
          <w:tab w:val="left" w:pos="0"/>
        </w:tabs>
        <w:spacing w:before="0" w:line="276" w:lineRule="auto"/>
        <w:rPr>
          <w:rFonts w:ascii="Calibri Light" w:hAnsi="Calibri Light" w:cs="Calibri Light"/>
          <w:sz w:val="24"/>
          <w:szCs w:val="24"/>
        </w:rPr>
      </w:pPr>
      <w:r w:rsidRPr="00132B8B">
        <w:rPr>
          <w:rFonts w:ascii="Calibri Light" w:hAnsi="Calibri Light" w:cs="Calibri Light"/>
          <w:sz w:val="24"/>
          <w:szCs w:val="24"/>
        </w:rPr>
        <w:t xml:space="preserve">-l’accélération des investissements publics : 4 milliards supplémentaires pour le développement des réseaux des grandes entreprises publiques (ferroviaire, énergétique, postal), 4 milliards d’investissements directs de l’Etat dans des secteurs "stratégiques (défense, enseignement supérieur et recherche, </w:t>
      </w:r>
      <w:hyperlink r:id="rId6" w:history="1">
        <w:r w:rsidRPr="00132B8B">
          <w:rPr>
            <w:rStyle w:val="Lienhypertexte"/>
            <w:rFonts w:ascii="Calibri Light" w:hAnsi="Calibri Light" w:cs="Calibri Light"/>
            <w:color w:val="auto"/>
            <w:sz w:val="24"/>
            <w:szCs w:val="24"/>
            <w:u w:val="none"/>
          </w:rPr>
          <w:t>développement durable</w:t>
        </w:r>
      </w:hyperlink>
      <w:r w:rsidRPr="00132B8B">
        <w:rPr>
          <w:rFonts w:ascii="Calibri Light" w:hAnsi="Calibri Light" w:cs="Calibri Light"/>
          <w:sz w:val="24"/>
          <w:szCs w:val="24"/>
        </w:rPr>
        <w:t>), remboursement anticipé et définitif du Fonds de compensation de la TVA aux collectivités qui accepteront d’investir plus,</w:t>
      </w:r>
    </w:p>
    <w:p w:rsidR="001B4E08" w:rsidRPr="00132B8B" w:rsidRDefault="001B4E08" w:rsidP="001B4E08">
      <w:pPr>
        <w:pStyle w:val="Corpsdetexte"/>
        <w:tabs>
          <w:tab w:val="left" w:pos="0"/>
        </w:tabs>
        <w:spacing w:before="0" w:line="276" w:lineRule="auto"/>
        <w:rPr>
          <w:rFonts w:ascii="Calibri Light" w:hAnsi="Calibri Light" w:cs="Calibri Light"/>
          <w:sz w:val="24"/>
          <w:szCs w:val="24"/>
        </w:rPr>
      </w:pPr>
      <w:r w:rsidRPr="00132B8B">
        <w:rPr>
          <w:rFonts w:ascii="Calibri Light" w:hAnsi="Calibri Light" w:cs="Calibri Light"/>
          <w:sz w:val="24"/>
          <w:szCs w:val="24"/>
        </w:rPr>
        <w:t>- l’emploi et le pouvoir d’achat : exonération de charges pour les entreprises de moins de 10 salariés qui embaucheront en 2009, versement d’une prime exceptionnelle de 200 euros pour les bénéficiaires du RSA, amélioration de l’indemnisation du chômage,</w:t>
      </w:r>
    </w:p>
    <w:p w:rsidR="001B4E08" w:rsidRPr="00132B8B" w:rsidRDefault="001B4E08" w:rsidP="001B4E08">
      <w:pPr>
        <w:pStyle w:val="Corpsdetexte"/>
        <w:tabs>
          <w:tab w:val="left" w:pos="0"/>
        </w:tabs>
        <w:spacing w:before="0" w:line="276" w:lineRule="auto"/>
        <w:rPr>
          <w:rFonts w:ascii="Calibri Light" w:hAnsi="Calibri Light" w:cs="Calibri Light"/>
          <w:sz w:val="24"/>
          <w:szCs w:val="24"/>
        </w:rPr>
      </w:pPr>
      <w:r w:rsidRPr="00132B8B">
        <w:rPr>
          <w:rFonts w:ascii="Calibri Light" w:hAnsi="Calibri Light" w:cs="Calibri Light"/>
          <w:sz w:val="24"/>
          <w:szCs w:val="24"/>
        </w:rPr>
        <w:t>- le logement : doublement du montant du prêt à taux zéro pour l’achat d’un logement neuf, achat ou construction par l’Etat de 100 000 logements sociaux sur la période 2009-2010,</w:t>
      </w:r>
    </w:p>
    <w:p w:rsidR="001B4E08" w:rsidRPr="00132B8B" w:rsidRDefault="001B4E08" w:rsidP="001B4E08">
      <w:pPr>
        <w:pStyle w:val="Corpsdetexte"/>
        <w:tabs>
          <w:tab w:val="left" w:pos="0"/>
        </w:tabs>
        <w:spacing w:before="0" w:line="276" w:lineRule="auto"/>
        <w:rPr>
          <w:rFonts w:ascii="Calibri Light" w:hAnsi="Calibri Light" w:cs="Calibri Light"/>
          <w:sz w:val="24"/>
          <w:szCs w:val="24"/>
        </w:rPr>
      </w:pPr>
      <w:r w:rsidRPr="00132B8B">
        <w:rPr>
          <w:rFonts w:ascii="Calibri Light" w:hAnsi="Calibri Light" w:cs="Calibri Light"/>
          <w:sz w:val="24"/>
          <w:szCs w:val="24"/>
        </w:rPr>
        <w:t xml:space="preserve">- le soutien à l’industrie automobile : passage à 1000 euros de la prime à la destruction d’un véhicule de plus de 10 ans en cas d’achat d’un véhicule neuf peu polluant (moins de 160 g/CO2), financements </w:t>
      </w:r>
      <w:r w:rsidRPr="00132B8B">
        <w:rPr>
          <w:rFonts w:ascii="Calibri Light" w:hAnsi="Calibri Light" w:cs="Calibri Light"/>
          <w:sz w:val="24"/>
          <w:szCs w:val="24"/>
        </w:rPr>
        <w:lastRenderedPageBreak/>
        <w:t>supplémentaires accordés aux filiales de Renault et PSA spécialisées dans le crédit, aides à la recherche sur les véhicules électriques et hybrides,</w:t>
      </w:r>
    </w:p>
    <w:p w:rsidR="001B4E08" w:rsidRPr="00132B8B" w:rsidRDefault="001B4E08" w:rsidP="001B4E08">
      <w:pPr>
        <w:pStyle w:val="Corpsdetexte"/>
        <w:tabs>
          <w:tab w:val="left" w:pos="0"/>
        </w:tabs>
        <w:spacing w:before="0" w:after="283" w:line="276" w:lineRule="auto"/>
        <w:rPr>
          <w:rFonts w:ascii="Calibri Light" w:hAnsi="Calibri Light" w:cs="Calibri Light"/>
          <w:sz w:val="24"/>
          <w:szCs w:val="24"/>
        </w:rPr>
      </w:pPr>
      <w:r w:rsidRPr="00132B8B">
        <w:rPr>
          <w:rFonts w:ascii="Calibri Light" w:hAnsi="Calibri Light" w:cs="Calibri Light"/>
          <w:sz w:val="24"/>
          <w:szCs w:val="24"/>
        </w:rPr>
        <w:t xml:space="preserve">- des mesures en direction des entreprises : remboursement par anticipation des dettes aux entreprises, versement par l’Etat d’un acompte de 20% au lieu de 5% lors de la passation d’un </w:t>
      </w:r>
      <w:hyperlink r:id="rId7" w:history="1">
        <w:r w:rsidRPr="00132B8B">
          <w:rPr>
            <w:rStyle w:val="Lienhypertexte"/>
            <w:rFonts w:ascii="Calibri Light" w:hAnsi="Calibri Light" w:cs="Calibri Light"/>
            <w:color w:val="auto"/>
            <w:sz w:val="24"/>
            <w:szCs w:val="24"/>
            <w:u w:val="none"/>
          </w:rPr>
          <w:t>marché public</w:t>
        </w:r>
      </w:hyperlink>
      <w:r w:rsidRPr="00132B8B">
        <w:rPr>
          <w:rFonts w:ascii="Calibri Light" w:hAnsi="Calibri Light" w:cs="Calibri Light"/>
          <w:sz w:val="24"/>
          <w:szCs w:val="24"/>
        </w:rPr>
        <w:t>, allègement des procédures d’appel d’offres, etc...</w:t>
      </w:r>
    </w:p>
    <w:p w:rsidR="001B4E08" w:rsidRDefault="001B4E08" w:rsidP="001B4E08">
      <w:pPr>
        <w:autoSpaceDE w:val="0"/>
        <w:spacing w:line="200" w:lineRule="atLeast"/>
        <w:ind w:firstLine="708"/>
        <w:jc w:val="right"/>
        <w:rPr>
          <w:rFonts w:ascii="Arial" w:eastAsia="Times New Roman" w:hAnsi="Arial" w:cs="Arial"/>
        </w:rPr>
      </w:pPr>
      <w:r w:rsidRPr="00DC4B8F">
        <w:rPr>
          <w:rFonts w:ascii="Arial" w:eastAsia="Times New Roman" w:hAnsi="Arial" w:cs="Arial"/>
        </w:rPr>
        <w:t xml:space="preserve">Source : http://www.vie-publique.fr/actualite/dossier/plf-2009/budget-2009-maitrise-depenses-au-plan-relance.html </w:t>
      </w:r>
    </w:p>
    <w:p w:rsidR="001B4E08" w:rsidRPr="00132B8B" w:rsidRDefault="00FB76F6" w:rsidP="00FB76F6">
      <w:pPr>
        <w:numPr>
          <w:ilvl w:val="0"/>
          <w:numId w:val="33"/>
        </w:numPr>
        <w:autoSpaceDE w:val="0"/>
        <w:spacing w:line="200" w:lineRule="atLeast"/>
        <w:jc w:val="left"/>
        <w:rPr>
          <w:rFonts w:ascii="Calibri Light" w:eastAsia="Times New Roman" w:hAnsi="Calibri Light" w:cs="Calibri Light"/>
          <w:sz w:val="24"/>
          <w:szCs w:val="24"/>
        </w:rPr>
      </w:pPr>
      <w:r w:rsidRPr="00132B8B">
        <w:rPr>
          <w:rFonts w:ascii="Calibri Light" w:eastAsia="Times New Roman" w:hAnsi="Calibri Light" w:cs="Calibri Light"/>
          <w:sz w:val="24"/>
          <w:szCs w:val="24"/>
        </w:rPr>
        <w:t>Pourquoi le Président de la République annonce-t-il un plan de relance le 4 décembre 2008 ?</w:t>
      </w:r>
    </w:p>
    <w:p w:rsidR="00FB76F6" w:rsidRPr="00132B8B" w:rsidRDefault="00FB76F6" w:rsidP="00FB76F6">
      <w:pPr>
        <w:numPr>
          <w:ilvl w:val="0"/>
          <w:numId w:val="33"/>
        </w:numPr>
        <w:autoSpaceDE w:val="0"/>
        <w:spacing w:line="200" w:lineRule="atLeast"/>
        <w:jc w:val="left"/>
        <w:rPr>
          <w:rFonts w:ascii="Calibri Light" w:eastAsia="Times New Roman" w:hAnsi="Calibri Light" w:cs="Calibri Light"/>
          <w:sz w:val="24"/>
          <w:szCs w:val="24"/>
        </w:rPr>
      </w:pPr>
      <w:r w:rsidRPr="00132B8B">
        <w:rPr>
          <w:rFonts w:ascii="Calibri Light" w:eastAsia="Times New Roman" w:hAnsi="Calibri Light" w:cs="Calibri Light"/>
          <w:sz w:val="24"/>
          <w:szCs w:val="24"/>
        </w:rPr>
        <w:t>Quelle est la conséquence de ce plan de relance sur les finances publiques ?</w:t>
      </w:r>
    </w:p>
    <w:p w:rsidR="00FB76F6" w:rsidRPr="00132B8B" w:rsidRDefault="00FB76F6" w:rsidP="00FB76F6">
      <w:pPr>
        <w:numPr>
          <w:ilvl w:val="0"/>
          <w:numId w:val="33"/>
        </w:numPr>
        <w:autoSpaceDE w:val="0"/>
        <w:spacing w:line="200" w:lineRule="atLeast"/>
        <w:jc w:val="left"/>
        <w:rPr>
          <w:rFonts w:ascii="Calibri Light" w:eastAsia="Times New Roman" w:hAnsi="Calibri Light" w:cs="Calibri Light"/>
          <w:sz w:val="24"/>
          <w:szCs w:val="24"/>
        </w:rPr>
      </w:pPr>
      <w:r w:rsidRPr="00132B8B">
        <w:rPr>
          <w:rFonts w:ascii="Calibri Light" w:eastAsia="Times New Roman" w:hAnsi="Calibri Light" w:cs="Calibri Light"/>
          <w:sz w:val="24"/>
          <w:szCs w:val="24"/>
        </w:rPr>
        <w:t>Répertoriez les mesures annoncées dans le tableau suivant (à reproduire)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5303"/>
      </w:tblGrid>
      <w:tr w:rsidR="00FB76F6" w:rsidRPr="00132B8B" w:rsidTr="00132B8B">
        <w:tc>
          <w:tcPr>
            <w:tcW w:w="5303" w:type="dxa"/>
            <w:shd w:val="clear" w:color="auto" w:fill="auto"/>
          </w:tcPr>
          <w:p w:rsidR="00FB76F6" w:rsidRPr="00132B8B" w:rsidRDefault="00FB76F6" w:rsidP="00132B8B">
            <w:pPr>
              <w:autoSpaceDE w:val="0"/>
              <w:spacing w:line="200" w:lineRule="atLeast"/>
              <w:jc w:val="center"/>
              <w:rPr>
                <w:rFonts w:ascii="Calibri Light" w:eastAsia="Times New Roman" w:hAnsi="Calibri Light" w:cs="Calibri Light"/>
                <w:sz w:val="24"/>
                <w:szCs w:val="24"/>
              </w:rPr>
            </w:pPr>
            <w:r w:rsidRPr="00132B8B">
              <w:rPr>
                <w:rFonts w:ascii="Calibri Light" w:eastAsia="Times New Roman" w:hAnsi="Calibri Light" w:cs="Calibri Light"/>
                <w:sz w:val="24"/>
                <w:szCs w:val="24"/>
              </w:rPr>
              <w:t>Mesures qui affectent les recettes publiques</w:t>
            </w:r>
          </w:p>
        </w:tc>
        <w:tc>
          <w:tcPr>
            <w:tcW w:w="5303" w:type="dxa"/>
            <w:shd w:val="clear" w:color="auto" w:fill="auto"/>
          </w:tcPr>
          <w:p w:rsidR="00FB76F6" w:rsidRPr="00132B8B" w:rsidRDefault="00FB76F6" w:rsidP="00132B8B">
            <w:pPr>
              <w:autoSpaceDE w:val="0"/>
              <w:spacing w:line="200" w:lineRule="atLeast"/>
              <w:jc w:val="center"/>
              <w:rPr>
                <w:rFonts w:ascii="Calibri Light" w:eastAsia="Times New Roman" w:hAnsi="Calibri Light" w:cs="Calibri Light"/>
                <w:sz w:val="24"/>
                <w:szCs w:val="24"/>
              </w:rPr>
            </w:pPr>
            <w:r w:rsidRPr="00132B8B">
              <w:rPr>
                <w:rFonts w:ascii="Calibri Light" w:eastAsia="Times New Roman" w:hAnsi="Calibri Light" w:cs="Calibri Light"/>
                <w:sz w:val="24"/>
                <w:szCs w:val="24"/>
              </w:rPr>
              <w:t>Mesures qui affectent les dépenses publiques</w:t>
            </w:r>
          </w:p>
        </w:tc>
      </w:tr>
      <w:tr w:rsidR="00FB76F6" w:rsidRPr="00132B8B" w:rsidTr="00132B8B">
        <w:tc>
          <w:tcPr>
            <w:tcW w:w="5303" w:type="dxa"/>
            <w:shd w:val="clear" w:color="auto" w:fill="auto"/>
          </w:tcPr>
          <w:p w:rsidR="00FB76F6" w:rsidRPr="00132B8B" w:rsidRDefault="00FB76F6" w:rsidP="00132B8B">
            <w:pPr>
              <w:autoSpaceDE w:val="0"/>
              <w:spacing w:line="200" w:lineRule="atLeast"/>
              <w:jc w:val="left"/>
              <w:rPr>
                <w:rFonts w:ascii="Calibri Light" w:eastAsia="Times New Roman" w:hAnsi="Calibri Light" w:cs="Calibri Light"/>
                <w:sz w:val="24"/>
                <w:szCs w:val="24"/>
              </w:rPr>
            </w:pPr>
          </w:p>
        </w:tc>
        <w:tc>
          <w:tcPr>
            <w:tcW w:w="5303" w:type="dxa"/>
            <w:shd w:val="clear" w:color="auto" w:fill="auto"/>
          </w:tcPr>
          <w:p w:rsidR="00FB76F6" w:rsidRPr="00132B8B" w:rsidRDefault="00FB76F6" w:rsidP="00132B8B">
            <w:pPr>
              <w:autoSpaceDE w:val="0"/>
              <w:spacing w:line="200" w:lineRule="atLeast"/>
              <w:jc w:val="left"/>
              <w:rPr>
                <w:rFonts w:ascii="Calibri Light" w:eastAsia="Times New Roman" w:hAnsi="Calibri Light" w:cs="Calibri Light"/>
                <w:sz w:val="24"/>
                <w:szCs w:val="24"/>
              </w:rPr>
            </w:pPr>
          </w:p>
          <w:p w:rsidR="00FB76F6" w:rsidRPr="00132B8B" w:rsidRDefault="00FB76F6" w:rsidP="00132B8B">
            <w:pPr>
              <w:autoSpaceDE w:val="0"/>
              <w:spacing w:line="200" w:lineRule="atLeast"/>
              <w:jc w:val="left"/>
              <w:rPr>
                <w:rFonts w:ascii="Calibri Light" w:eastAsia="Times New Roman" w:hAnsi="Calibri Light" w:cs="Calibri Light"/>
                <w:sz w:val="24"/>
                <w:szCs w:val="24"/>
              </w:rPr>
            </w:pPr>
          </w:p>
        </w:tc>
      </w:tr>
    </w:tbl>
    <w:p w:rsidR="00FB76F6" w:rsidRPr="00132B8B" w:rsidRDefault="00FB76F6" w:rsidP="00FB76F6">
      <w:pPr>
        <w:autoSpaceDE w:val="0"/>
        <w:spacing w:line="200" w:lineRule="atLeast"/>
        <w:jc w:val="left"/>
        <w:rPr>
          <w:rFonts w:ascii="Calibri Light" w:eastAsia="Times New Roman" w:hAnsi="Calibri Light" w:cs="Calibri Light"/>
          <w:sz w:val="24"/>
          <w:szCs w:val="24"/>
        </w:rPr>
      </w:pPr>
    </w:p>
    <w:p w:rsidR="001B4E08" w:rsidRDefault="001B4E08" w:rsidP="001B4E08">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C250FA">
        <w:rPr>
          <w:rFonts w:ascii="Calibri Light" w:hAnsi="Calibri Light" w:cs="Calibri Light"/>
          <w:b/>
          <w:color w:val="000000"/>
          <w:sz w:val="28"/>
          <w:szCs w:val="28"/>
        </w:rPr>
        <w:t>3</w:t>
      </w:r>
      <w:r>
        <w:rPr>
          <w:rFonts w:ascii="Calibri Light" w:hAnsi="Calibri Light" w:cs="Calibri Light"/>
          <w:b/>
          <w:color w:val="000000"/>
          <w:sz w:val="28"/>
          <w:szCs w:val="28"/>
        </w:rPr>
        <w:t> : Plans de relance 200</w:t>
      </w:r>
      <w:r w:rsidR="00BC5C61">
        <w:rPr>
          <w:rFonts w:ascii="Calibri Light" w:hAnsi="Calibri Light" w:cs="Calibri Light"/>
          <w:b/>
          <w:color w:val="000000"/>
          <w:sz w:val="28"/>
          <w:szCs w:val="28"/>
        </w:rPr>
        <w:t>9</w:t>
      </w:r>
      <w:r>
        <w:rPr>
          <w:rFonts w:ascii="Calibri Light" w:hAnsi="Calibri Light" w:cs="Calibri Light"/>
          <w:b/>
          <w:color w:val="000000"/>
          <w:sz w:val="28"/>
          <w:szCs w:val="28"/>
        </w:rPr>
        <w:t xml:space="preserve"> en % du PIB</w:t>
      </w:r>
    </w:p>
    <w:p w:rsidR="0015359B" w:rsidRDefault="0015359B" w:rsidP="0015359B">
      <w:pPr>
        <w:spacing w:after="0" w:line="240" w:lineRule="auto"/>
        <w:jc w:val="left"/>
        <w:rPr>
          <w:rFonts w:ascii="Calibri Light" w:hAnsi="Calibri Light" w:cs="Calibri Light"/>
          <w:bCs/>
          <w:color w:val="000000"/>
          <w:sz w:val="24"/>
          <w:szCs w:val="24"/>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1190"/>
        <w:gridCol w:w="790"/>
        <w:gridCol w:w="1937"/>
        <w:gridCol w:w="790"/>
        <w:gridCol w:w="1604"/>
      </w:tblGrid>
      <w:tr w:rsidR="001B4E08" w:rsidRPr="001B4E08" w:rsidTr="000F2B0B">
        <w:tc>
          <w:tcPr>
            <w:tcW w:w="0" w:type="auto"/>
            <w:vMerge w:val="restart"/>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bookmarkStart w:id="0" w:name="_Hlk69890569"/>
          </w:p>
        </w:tc>
        <w:tc>
          <w:tcPr>
            <w:tcW w:w="0" w:type="auto"/>
            <w:vMerge w:val="restart"/>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p>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Ampleur</w:t>
            </w:r>
          </w:p>
        </w:tc>
        <w:tc>
          <w:tcPr>
            <w:tcW w:w="0" w:type="auto"/>
            <w:gridSpan w:val="2"/>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r w:rsidRPr="001B4E08">
              <w:rPr>
                <w:rFonts w:ascii="Arial" w:eastAsia="MS Mincho" w:hAnsi="Arial" w:cs="Arial"/>
                <w:b/>
                <w:sz w:val="24"/>
                <w:szCs w:val="24"/>
                <w:lang w:eastAsia="ar-SA"/>
              </w:rPr>
              <w:t>Dépenses</w:t>
            </w:r>
          </w:p>
        </w:tc>
        <w:tc>
          <w:tcPr>
            <w:tcW w:w="0" w:type="auto"/>
            <w:gridSpan w:val="2"/>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r w:rsidRPr="001B4E08">
              <w:rPr>
                <w:rFonts w:ascii="Arial" w:eastAsia="MS Mincho" w:hAnsi="Arial" w:cs="Arial"/>
                <w:b/>
                <w:sz w:val="24"/>
                <w:szCs w:val="24"/>
                <w:lang w:eastAsia="ar-SA"/>
              </w:rPr>
              <w:t>Recettes</w:t>
            </w:r>
          </w:p>
        </w:tc>
      </w:tr>
      <w:tr w:rsidR="001B4E08" w:rsidRPr="001B4E08" w:rsidTr="000F2B0B">
        <w:tc>
          <w:tcPr>
            <w:tcW w:w="0" w:type="auto"/>
            <w:vMerge/>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p>
        </w:tc>
        <w:tc>
          <w:tcPr>
            <w:tcW w:w="0" w:type="auto"/>
            <w:vMerge/>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r w:rsidRPr="001B4E08">
              <w:rPr>
                <w:rFonts w:ascii="Arial" w:eastAsia="MS Mincho" w:hAnsi="Arial" w:cs="Arial"/>
                <w:b/>
                <w:sz w:val="24"/>
                <w:szCs w:val="24"/>
                <w:lang w:eastAsia="ar-SA"/>
              </w:rPr>
              <w:t>Total</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Dont</w:t>
            </w:r>
          </w:p>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Investissements</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b/>
                <w:sz w:val="24"/>
                <w:szCs w:val="24"/>
                <w:lang w:eastAsia="ar-SA"/>
              </w:rPr>
            </w:pPr>
            <w:r w:rsidRPr="001B4E08">
              <w:rPr>
                <w:rFonts w:ascii="Arial" w:eastAsia="MS Mincho" w:hAnsi="Arial" w:cs="Arial"/>
                <w:b/>
                <w:sz w:val="24"/>
                <w:szCs w:val="24"/>
                <w:lang w:eastAsia="ar-SA"/>
              </w:rPr>
              <w:t>Total</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Dont impôt</w:t>
            </w:r>
          </w:p>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sur le revenu</w:t>
            </w:r>
          </w:p>
        </w:tc>
      </w:tr>
      <w:tr w:rsidR="001B4E08" w:rsidRPr="001B4E08" w:rsidTr="000F2B0B">
        <w:tc>
          <w:tcPr>
            <w:tcW w:w="0" w:type="auto"/>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Allemagne</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3,0</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1,4</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0,8</w:t>
            </w:r>
          </w:p>
        </w:tc>
        <w:tc>
          <w:tcPr>
            <w:tcW w:w="0" w:type="auto"/>
            <w:shd w:val="clear" w:color="auto" w:fill="auto"/>
          </w:tcPr>
          <w:p w:rsidR="001B4E08" w:rsidRPr="001B4E08" w:rsidRDefault="001B4E08" w:rsidP="001B4E08">
            <w:pPr>
              <w:spacing w:after="0" w:line="240" w:lineRule="auto"/>
              <w:jc w:val="left"/>
              <w:rPr>
                <w:rFonts w:ascii="Arial" w:eastAsia="MS Mincho" w:hAnsi="Arial" w:cs="Arial"/>
                <w:sz w:val="24"/>
                <w:szCs w:val="24"/>
                <w:lang w:eastAsia="ar-SA"/>
              </w:rPr>
            </w:pPr>
            <w:r w:rsidRPr="001B4E08">
              <w:rPr>
                <w:rFonts w:ascii="Arial" w:eastAsia="MS Mincho" w:hAnsi="Arial" w:cs="Arial"/>
                <w:sz w:val="24"/>
                <w:szCs w:val="24"/>
                <w:lang w:eastAsia="ar-SA"/>
              </w:rPr>
              <w:t>- 1,6</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-0,6</w:t>
            </w:r>
          </w:p>
        </w:tc>
      </w:tr>
      <w:tr w:rsidR="001B4E08" w:rsidRPr="001B4E08" w:rsidTr="000F2B0B">
        <w:tc>
          <w:tcPr>
            <w:tcW w:w="0" w:type="auto"/>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France</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0,6</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0,4</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0,2</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- 0,2</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-0,1</w:t>
            </w:r>
          </w:p>
        </w:tc>
      </w:tr>
      <w:tr w:rsidR="001B4E08" w:rsidRPr="001B4E08" w:rsidTr="000F2B0B">
        <w:tc>
          <w:tcPr>
            <w:tcW w:w="0" w:type="auto"/>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Royaume-Uni</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1,4</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0,1</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0,1</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-1,5</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-0,6</w:t>
            </w:r>
          </w:p>
        </w:tc>
      </w:tr>
      <w:tr w:rsidR="001B4E08" w:rsidRPr="001B4E08" w:rsidTr="000F2B0B">
        <w:tc>
          <w:tcPr>
            <w:tcW w:w="0" w:type="auto"/>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Etats-Unis</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5,6</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2,4</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0,3</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- 3,2</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-2,4</w:t>
            </w:r>
          </w:p>
        </w:tc>
      </w:tr>
      <w:tr w:rsidR="001B4E08" w:rsidRPr="001B4E08" w:rsidTr="000F2B0B">
        <w:tc>
          <w:tcPr>
            <w:tcW w:w="0" w:type="auto"/>
            <w:shd w:val="clear" w:color="auto" w:fill="auto"/>
          </w:tcPr>
          <w:p w:rsidR="001B4E08" w:rsidRPr="001B4E08" w:rsidRDefault="001B4E08" w:rsidP="001B4E08">
            <w:pPr>
              <w:suppressAutoHyphens/>
              <w:spacing w:after="0" w:line="240" w:lineRule="auto"/>
              <w:jc w:val="left"/>
              <w:rPr>
                <w:rFonts w:ascii="Arial" w:eastAsia="MS Mincho" w:hAnsi="Arial" w:cs="Arial"/>
                <w:b/>
                <w:sz w:val="24"/>
                <w:szCs w:val="24"/>
                <w:lang w:eastAsia="ar-SA"/>
              </w:rPr>
            </w:pPr>
            <w:r w:rsidRPr="001B4E08">
              <w:rPr>
                <w:rFonts w:ascii="Arial" w:eastAsia="MS Mincho" w:hAnsi="Arial" w:cs="Arial"/>
                <w:b/>
                <w:sz w:val="24"/>
                <w:szCs w:val="24"/>
                <w:lang w:eastAsia="ar-SA"/>
              </w:rPr>
              <w:t>OCDE</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3,4</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1,5</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Nd</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- 1,9</w:t>
            </w:r>
          </w:p>
        </w:tc>
        <w:tc>
          <w:tcPr>
            <w:tcW w:w="0" w:type="auto"/>
            <w:shd w:val="clear" w:color="auto" w:fill="auto"/>
          </w:tcPr>
          <w:p w:rsidR="001B4E08" w:rsidRPr="001B4E08" w:rsidRDefault="001B4E08" w:rsidP="001B4E08">
            <w:pPr>
              <w:suppressAutoHyphens/>
              <w:spacing w:after="0" w:line="240" w:lineRule="auto"/>
              <w:jc w:val="center"/>
              <w:rPr>
                <w:rFonts w:ascii="Arial" w:eastAsia="MS Mincho" w:hAnsi="Arial" w:cs="Arial"/>
                <w:sz w:val="24"/>
                <w:szCs w:val="24"/>
                <w:lang w:eastAsia="ar-SA"/>
              </w:rPr>
            </w:pPr>
            <w:r w:rsidRPr="001B4E08">
              <w:rPr>
                <w:rFonts w:ascii="Arial" w:eastAsia="MS Mincho" w:hAnsi="Arial" w:cs="Arial"/>
                <w:sz w:val="24"/>
                <w:szCs w:val="24"/>
                <w:lang w:eastAsia="ar-SA"/>
              </w:rPr>
              <w:t>nd</w:t>
            </w:r>
          </w:p>
        </w:tc>
      </w:tr>
    </w:tbl>
    <w:bookmarkEnd w:id="0"/>
    <w:p w:rsidR="001B4E08" w:rsidRDefault="001B4E08" w:rsidP="0015359B">
      <w:p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Source : données OCDE</w:t>
      </w:r>
    </w:p>
    <w:p w:rsidR="001B4E08" w:rsidRDefault="001B4E08" w:rsidP="0015359B">
      <w:pPr>
        <w:spacing w:after="0" w:line="240" w:lineRule="auto"/>
        <w:jc w:val="left"/>
        <w:rPr>
          <w:rFonts w:ascii="Calibri Light" w:hAnsi="Calibri Light" w:cs="Calibri Light"/>
          <w:bCs/>
          <w:color w:val="000000"/>
          <w:sz w:val="24"/>
          <w:szCs w:val="24"/>
        </w:rPr>
      </w:pPr>
    </w:p>
    <w:p w:rsidR="00A13627" w:rsidRDefault="00E659EC" w:rsidP="00E659EC">
      <w:pPr>
        <w:numPr>
          <w:ilvl w:val="0"/>
          <w:numId w:val="34"/>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Donnez la signification de l’ensemble des données concernant la France.</w:t>
      </w:r>
    </w:p>
    <w:p w:rsidR="00E659EC" w:rsidRDefault="00E659EC" w:rsidP="00E659EC">
      <w:pPr>
        <w:numPr>
          <w:ilvl w:val="0"/>
          <w:numId w:val="34"/>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Comparez les différents plans de relance (comparer = identifier des points communs et des différences)</w:t>
      </w:r>
    </w:p>
    <w:p w:rsidR="00A87A0F" w:rsidRDefault="00A87A0F" w:rsidP="00A13627">
      <w:pPr>
        <w:rPr>
          <w:rFonts w:ascii="Calibri Light" w:hAnsi="Calibri Light" w:cs="Calibri Light"/>
          <w:b/>
          <w:color w:val="000000"/>
          <w:sz w:val="28"/>
          <w:szCs w:val="28"/>
        </w:rPr>
      </w:pPr>
    </w:p>
    <w:p w:rsidR="00A87A0F" w:rsidRPr="00A87A0F" w:rsidRDefault="00A87A0F" w:rsidP="00A13627">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C250FA">
        <w:rPr>
          <w:rFonts w:ascii="Calibri Light" w:hAnsi="Calibri Light" w:cs="Calibri Light"/>
          <w:b/>
          <w:color w:val="000000"/>
          <w:sz w:val="28"/>
          <w:szCs w:val="28"/>
        </w:rPr>
        <w:t>4</w:t>
      </w:r>
      <w:r>
        <w:rPr>
          <w:rFonts w:ascii="Calibri Light" w:hAnsi="Calibri Light" w:cs="Calibri Light"/>
          <w:b/>
          <w:color w:val="000000"/>
          <w:sz w:val="28"/>
          <w:szCs w:val="28"/>
        </w:rPr>
        <w:t> : Qu’est-ce que la politique monétaire ?</w:t>
      </w:r>
    </w:p>
    <w:p w:rsidR="00A87A0F" w:rsidRPr="00132B8B" w:rsidRDefault="00C250FA" w:rsidP="00A13627">
      <w:pPr>
        <w:rPr>
          <w:rFonts w:ascii="Calibri Light" w:hAnsi="Calibri Light" w:cs="Calibri Light"/>
          <w:sz w:val="24"/>
          <w:szCs w:val="24"/>
        </w:rPr>
      </w:pPr>
      <w:r w:rsidRPr="00132B8B">
        <w:rPr>
          <w:rFonts w:ascii="Calibri Light" w:hAnsi="Calibri Light" w:cs="Calibri Light"/>
          <w:sz w:val="24"/>
          <w:szCs w:val="24"/>
        </w:rPr>
        <w:t>[...]</w:t>
      </w:r>
      <w:r w:rsidR="00A87A0F" w:rsidRPr="00132B8B">
        <w:rPr>
          <w:rFonts w:ascii="Calibri Light" w:hAnsi="Calibri Light" w:cs="Calibri Light"/>
          <w:sz w:val="24"/>
          <w:szCs w:val="24"/>
        </w:rPr>
        <w:t xml:space="preserve"> La politique monétaire est de la responsabilité des banques centrales, qui doivent à la fois favoriser la prospérité économique grâce à leur action sur la monnaie, et veiller sur la stabilité monétaire et financière, mais sans agir sur les lois, les investissements publics, la fiscalité, l’organisation du travail, qui sont du domaine de l’État. </w:t>
      </w:r>
    </w:p>
    <w:p w:rsidR="00A87A0F" w:rsidRPr="00132B8B" w:rsidRDefault="00A87A0F" w:rsidP="00A13627">
      <w:pPr>
        <w:rPr>
          <w:rFonts w:ascii="Calibri Light" w:hAnsi="Calibri Light" w:cs="Calibri Light"/>
          <w:b/>
          <w:color w:val="000000"/>
          <w:sz w:val="24"/>
          <w:szCs w:val="24"/>
        </w:rPr>
      </w:pPr>
      <w:r w:rsidRPr="00132B8B">
        <w:rPr>
          <w:rFonts w:ascii="Calibri Light" w:hAnsi="Calibri Light" w:cs="Calibri Light"/>
          <w:sz w:val="24"/>
          <w:szCs w:val="24"/>
        </w:rPr>
        <w:t xml:space="preserve">Dans la zone euro, l’objectif principal est la stabilité des prix, qui est définie comme une inflation à moyen terme « inférieure à, mais proche de 2 % ». La politique monétaire vise à ce que l’augmentation de monnaie dans l’économie ne soit ni trop rapide ni trop faible par rapport à la croissance des biens et des services. Si la politique monétaire est trop « accommodante », le danger est celui d’une inflation trop forte, néfaste pour l’ensemble de l’économie : une inflation excessive entraîne à terme une baisse de la valeur de la monnaie </w:t>
      </w:r>
      <w:r w:rsidRPr="00132B8B">
        <w:rPr>
          <w:rFonts w:ascii="Calibri Light" w:hAnsi="Calibri Light" w:cs="Calibri Light"/>
          <w:sz w:val="24"/>
          <w:szCs w:val="24"/>
        </w:rPr>
        <w:lastRenderedPageBreak/>
        <w:t>(avec la même somme d’argent, on peut acquérir moins de biens et de services) et complique les anticipations de prix et les décisions d’investissement et d’achat. De plus, cela déséquilibre les répartitions de richesse entre emprunteurs et épargnants. À l’inverse, la politique monétaire ne doit pas non plus être trop restrictive, afin de ne pas favoriser la déflation, qui incite au report des achats, et entraîne donc une baisse de la consommation, un ralentissement de la croissance et une hausse du chômage.</w:t>
      </w:r>
    </w:p>
    <w:p w:rsidR="00A87A0F" w:rsidRPr="00A87A0F" w:rsidRDefault="00A87A0F" w:rsidP="00A87A0F">
      <w:pPr>
        <w:jc w:val="right"/>
        <w:rPr>
          <w:rFonts w:ascii="Calibri Light" w:hAnsi="Calibri Light" w:cs="Calibri Light"/>
          <w:bCs/>
          <w:color w:val="000000"/>
          <w:sz w:val="24"/>
          <w:szCs w:val="24"/>
        </w:rPr>
      </w:pPr>
      <w:r>
        <w:rPr>
          <w:rFonts w:ascii="Calibri Light" w:hAnsi="Calibri Light" w:cs="Calibri Light"/>
          <w:bCs/>
          <w:i/>
          <w:iCs/>
          <w:color w:val="000000"/>
          <w:sz w:val="24"/>
          <w:szCs w:val="24"/>
        </w:rPr>
        <w:t>« </w:t>
      </w:r>
      <w:r w:rsidRPr="00A87A0F">
        <w:rPr>
          <w:rFonts w:ascii="Calibri Light" w:hAnsi="Calibri Light" w:cs="Calibri Light"/>
          <w:bCs/>
          <w:i/>
          <w:iCs/>
          <w:color w:val="000000"/>
          <w:sz w:val="24"/>
          <w:szCs w:val="24"/>
        </w:rPr>
        <w:t>Qu’est-ce que la politique monétaire</w:t>
      </w:r>
      <w:r>
        <w:rPr>
          <w:rFonts w:ascii="Calibri Light" w:hAnsi="Calibri Light" w:cs="Calibri Light"/>
          <w:bCs/>
          <w:i/>
          <w:iCs/>
          <w:color w:val="000000"/>
          <w:sz w:val="24"/>
          <w:szCs w:val="24"/>
        </w:rPr>
        <w:t> ? »</w:t>
      </w:r>
      <w:r w:rsidRPr="00A87A0F">
        <w:rPr>
          <w:rFonts w:ascii="Calibri Light" w:hAnsi="Calibri Light" w:cs="Calibri Light"/>
          <w:bCs/>
          <w:color w:val="000000"/>
          <w:sz w:val="24"/>
          <w:szCs w:val="24"/>
        </w:rPr>
        <w:t>, L’eco en bref, Banque de France, juin 2017</w:t>
      </w:r>
    </w:p>
    <w:p w:rsidR="00A87A0F" w:rsidRPr="00132B8B" w:rsidRDefault="00636946" w:rsidP="00636946">
      <w:pPr>
        <w:numPr>
          <w:ilvl w:val="0"/>
          <w:numId w:val="30"/>
        </w:numPr>
        <w:spacing w:after="0"/>
        <w:ind w:left="714" w:hanging="357"/>
        <w:rPr>
          <w:rFonts w:ascii="Calibri Light" w:hAnsi="Calibri Light" w:cs="Calibri Light"/>
          <w:bCs/>
          <w:color w:val="000000"/>
          <w:sz w:val="24"/>
          <w:szCs w:val="24"/>
        </w:rPr>
      </w:pPr>
      <w:r w:rsidRPr="00132B8B">
        <w:rPr>
          <w:rFonts w:ascii="Calibri Light" w:hAnsi="Calibri Light" w:cs="Calibri Light"/>
          <w:bCs/>
          <w:color w:val="000000"/>
          <w:sz w:val="24"/>
          <w:szCs w:val="24"/>
        </w:rPr>
        <w:t>Quels sont les objectifs de la politique monétaire ?</w:t>
      </w:r>
    </w:p>
    <w:p w:rsidR="00636946" w:rsidRPr="00132B8B" w:rsidRDefault="00636946" w:rsidP="00636946">
      <w:pPr>
        <w:numPr>
          <w:ilvl w:val="0"/>
          <w:numId w:val="30"/>
        </w:numPr>
        <w:spacing w:after="0"/>
        <w:ind w:left="714" w:hanging="357"/>
        <w:rPr>
          <w:rFonts w:ascii="Calibri Light" w:hAnsi="Calibri Light" w:cs="Calibri Light"/>
          <w:bCs/>
          <w:color w:val="000000"/>
          <w:sz w:val="24"/>
          <w:szCs w:val="24"/>
        </w:rPr>
      </w:pPr>
      <w:r w:rsidRPr="00132B8B">
        <w:rPr>
          <w:rFonts w:ascii="Calibri Light" w:hAnsi="Calibri Light" w:cs="Calibri Light"/>
          <w:bCs/>
          <w:color w:val="000000"/>
          <w:sz w:val="24"/>
          <w:szCs w:val="24"/>
        </w:rPr>
        <w:t>En quoi consiste une politique monétaire trop « accommodante » ? Quels en sont les risques ?</w:t>
      </w:r>
    </w:p>
    <w:p w:rsidR="00636946" w:rsidRPr="00132B8B" w:rsidRDefault="00636946" w:rsidP="00636946">
      <w:pPr>
        <w:numPr>
          <w:ilvl w:val="0"/>
          <w:numId w:val="30"/>
        </w:numPr>
        <w:spacing w:after="0"/>
        <w:ind w:left="714" w:hanging="357"/>
        <w:rPr>
          <w:rFonts w:ascii="Calibri Light" w:hAnsi="Calibri Light" w:cs="Calibri Light"/>
          <w:bCs/>
          <w:color w:val="000000"/>
          <w:sz w:val="24"/>
          <w:szCs w:val="24"/>
        </w:rPr>
      </w:pPr>
      <w:r w:rsidRPr="00132B8B">
        <w:rPr>
          <w:rFonts w:ascii="Calibri Light" w:hAnsi="Calibri Light" w:cs="Calibri Light"/>
          <w:bCs/>
          <w:color w:val="000000"/>
          <w:sz w:val="24"/>
          <w:szCs w:val="24"/>
        </w:rPr>
        <w:t>En quoi consiste une politique monétaire restrictive ? Quels en sont les risques ?</w:t>
      </w:r>
    </w:p>
    <w:p w:rsidR="00636946" w:rsidRPr="00132B8B" w:rsidRDefault="00636946" w:rsidP="00636946">
      <w:pPr>
        <w:spacing w:after="0"/>
        <w:rPr>
          <w:rFonts w:ascii="Calibri Light" w:hAnsi="Calibri Light" w:cs="Calibri Light"/>
          <w:bCs/>
          <w:color w:val="000000"/>
          <w:sz w:val="24"/>
          <w:szCs w:val="24"/>
        </w:rPr>
      </w:pPr>
    </w:p>
    <w:p w:rsidR="00A87A0F" w:rsidRDefault="00A87A0F" w:rsidP="00A87A0F">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C250FA">
        <w:rPr>
          <w:rFonts w:ascii="Calibri Light" w:hAnsi="Calibri Light" w:cs="Calibri Light"/>
          <w:b/>
          <w:color w:val="000000"/>
          <w:sz w:val="28"/>
          <w:szCs w:val="28"/>
        </w:rPr>
        <w:t>5</w:t>
      </w:r>
      <w:r>
        <w:rPr>
          <w:rFonts w:ascii="Calibri Light" w:hAnsi="Calibri Light" w:cs="Calibri Light"/>
          <w:b/>
          <w:color w:val="000000"/>
          <w:sz w:val="28"/>
          <w:szCs w:val="28"/>
        </w:rPr>
        <w:t> : La politique monétaire, du taux directeur au financement de l’économie</w:t>
      </w:r>
    </w:p>
    <w:p w:rsidR="00A87A0F" w:rsidRPr="00132B8B" w:rsidRDefault="00A87A0F" w:rsidP="00A87A0F">
      <w:pPr>
        <w:rPr>
          <w:rFonts w:ascii="Calibri Light" w:hAnsi="Calibri Light" w:cs="Calibri Light"/>
          <w:sz w:val="24"/>
          <w:szCs w:val="24"/>
        </w:rPr>
      </w:pPr>
      <w:r w:rsidRPr="00132B8B">
        <w:rPr>
          <w:rFonts w:ascii="Calibri Light" w:hAnsi="Calibri Light" w:cs="Calibri Light"/>
          <w:sz w:val="24"/>
          <w:szCs w:val="24"/>
        </w:rPr>
        <w:t xml:space="preserve">L’Eurosystème réunit les banques centrales nationales des 19 pays appartenant à la zone euro et la Banque centrale européenne (BCE). Cet ensemble institutionnel est chargé de piloter la politique monétaire de la zone euro en assurant en priorité la stabilité des prix. </w:t>
      </w:r>
    </w:p>
    <w:p w:rsidR="00A87A0F" w:rsidRPr="00132B8B" w:rsidRDefault="00390E22" w:rsidP="00A87A0F">
      <w:pPr>
        <w:rPr>
          <w:rFonts w:ascii="Calibri Light" w:hAnsi="Calibri Light" w:cs="Calibri Light"/>
          <w:sz w:val="24"/>
          <w:szCs w:val="24"/>
        </w:rPr>
      </w:pPr>
      <w:r w:rsidRPr="00132B8B">
        <w:rPr>
          <w:rFonts w:ascii="Calibri Light" w:hAnsi="Calibri Light" w:cs="Calibri Light"/>
          <w:sz w:val="24"/>
          <w:szCs w:val="24"/>
        </w:rPr>
        <w:t>[...]</w:t>
      </w:r>
      <w:r w:rsidR="00A87A0F" w:rsidRPr="00132B8B">
        <w:rPr>
          <w:rFonts w:ascii="Calibri Light" w:hAnsi="Calibri Light" w:cs="Calibri Light"/>
          <w:sz w:val="24"/>
          <w:szCs w:val="24"/>
        </w:rPr>
        <w:t xml:space="preserve"> L’Eurosystème décide notamment du niveau des taux des prêts des banques centrales aux banques commerciales (le prix de la « monnaie centrale »). Ce taux directeur, dont le niveau est déterminé par l’Eurosystème en fonction de la situation économique de la zone euro, influence le coût des crédits des banques commerciales à l’économie. Il exerce un impact majeur sur la création de monnaie [...], car il sert de référence aux autres taux de l’économie. S’il monte brusquement ou s’il est très élevé, la demande de crédits ralentit. Au contraire, s’il baisse fortement ou est très bas, cela incite les entreprises et les ménages (les « agents économiques ») à emprunter plus auprès de leur banque, et donc à créer plus de monnaie. </w:t>
      </w:r>
    </w:p>
    <w:p w:rsidR="00A87A0F" w:rsidRPr="00132B8B" w:rsidRDefault="006D4107" w:rsidP="00A87A0F">
      <w:pPr>
        <w:rPr>
          <w:rFonts w:ascii="Calibri Light" w:hAnsi="Calibri Light" w:cs="Calibri Light"/>
          <w:sz w:val="24"/>
          <w:szCs w:val="24"/>
        </w:rPr>
      </w:pPr>
      <w:r w:rsidRPr="00132B8B">
        <w:rPr>
          <w:rFonts w:ascii="Calibri Light" w:hAnsi="Calibri Light" w:cs="Calibri Light"/>
          <w:sz w:val="24"/>
          <w:szCs w:val="24"/>
        </w:rPr>
        <w:t>Les taux directeurs ont</w:t>
      </w:r>
      <w:r w:rsidR="00A87A0F" w:rsidRPr="00132B8B">
        <w:rPr>
          <w:rFonts w:ascii="Calibri Light" w:hAnsi="Calibri Light" w:cs="Calibri Light"/>
          <w:sz w:val="24"/>
          <w:szCs w:val="24"/>
        </w:rPr>
        <w:t xml:space="preserve"> des effets sur l’économie réelle après des délais de mise en œuvre, et agi</w:t>
      </w:r>
      <w:r w:rsidRPr="00132B8B">
        <w:rPr>
          <w:rFonts w:ascii="Calibri Light" w:hAnsi="Calibri Light" w:cs="Calibri Light"/>
          <w:sz w:val="24"/>
          <w:szCs w:val="24"/>
        </w:rPr>
        <w:t>ssen</w:t>
      </w:r>
      <w:r w:rsidR="00390E22" w:rsidRPr="00132B8B">
        <w:rPr>
          <w:rFonts w:ascii="Calibri Light" w:hAnsi="Calibri Light" w:cs="Calibri Light"/>
          <w:sz w:val="24"/>
          <w:szCs w:val="24"/>
        </w:rPr>
        <w:t>t</w:t>
      </w:r>
      <w:r w:rsidR="00A87A0F" w:rsidRPr="00132B8B">
        <w:rPr>
          <w:rFonts w:ascii="Calibri Light" w:hAnsi="Calibri Light" w:cs="Calibri Light"/>
          <w:sz w:val="24"/>
          <w:szCs w:val="24"/>
        </w:rPr>
        <w:t xml:space="preserve"> grâce à plusieurs canaux de transmission. Parmi ces canaux, certains jouent un rôle déterminant :</w:t>
      </w:r>
    </w:p>
    <w:p w:rsidR="00A87A0F" w:rsidRPr="00132B8B" w:rsidRDefault="00A87A0F" w:rsidP="00A87A0F">
      <w:pPr>
        <w:rPr>
          <w:rFonts w:ascii="Calibri Light" w:hAnsi="Calibri Light" w:cs="Calibri Light"/>
          <w:sz w:val="24"/>
          <w:szCs w:val="24"/>
        </w:rPr>
      </w:pPr>
      <w:r w:rsidRPr="00132B8B">
        <w:rPr>
          <w:rFonts w:ascii="Calibri Light" w:hAnsi="Calibri Light" w:cs="Calibri Light"/>
          <w:sz w:val="24"/>
          <w:szCs w:val="24"/>
        </w:rPr>
        <w:t>• le canal des taux d’intérêt : le taux d’intérêt est le prix auquel les agents économiques s’endettent pour financer leurs activités économiques. Une baisse du taux d’intérêt incite les agents à avoir recours au crédit ;</w:t>
      </w:r>
    </w:p>
    <w:p w:rsidR="00A87A0F" w:rsidRPr="00132B8B" w:rsidRDefault="00A87A0F" w:rsidP="00A87A0F">
      <w:pPr>
        <w:rPr>
          <w:rFonts w:ascii="Calibri Light" w:hAnsi="Calibri Light" w:cs="Calibri Light"/>
          <w:sz w:val="24"/>
          <w:szCs w:val="24"/>
        </w:rPr>
      </w:pPr>
      <w:r w:rsidRPr="00132B8B">
        <w:rPr>
          <w:rFonts w:ascii="Calibri Light" w:hAnsi="Calibri Light" w:cs="Calibri Light"/>
          <w:sz w:val="24"/>
          <w:szCs w:val="24"/>
        </w:rPr>
        <w:t>• le canal des prix d’actifs : la baisse des taux d’intérêt augmente le prix des actifs (par exemple les titres financiers) sur les marchés. Les agents qui détiennent des actifs voient leur richesse s’accroître, ce qui gonfle d’autant leur pouvoir d’achat ;</w:t>
      </w:r>
    </w:p>
    <w:p w:rsidR="00A87A0F" w:rsidRPr="00132B8B" w:rsidRDefault="00A87A0F" w:rsidP="00A87A0F">
      <w:pPr>
        <w:rPr>
          <w:rFonts w:ascii="Calibri Light" w:hAnsi="Calibri Light" w:cs="Calibri Light"/>
          <w:b/>
          <w:color w:val="000000"/>
          <w:sz w:val="24"/>
          <w:szCs w:val="24"/>
        </w:rPr>
      </w:pPr>
      <w:r w:rsidRPr="00132B8B">
        <w:rPr>
          <w:rFonts w:ascii="Calibri Light" w:hAnsi="Calibri Light" w:cs="Calibri Light"/>
          <w:sz w:val="24"/>
          <w:szCs w:val="24"/>
        </w:rPr>
        <w:t>• le canal des anticipations : l’action de la banque centrale doit être claire et crédible pour permettre aux agents économiques d’anticiper correctement les évolutions futures du taux directeur.</w:t>
      </w:r>
    </w:p>
    <w:p w:rsidR="00390E22" w:rsidRPr="00390E22" w:rsidRDefault="00390E22" w:rsidP="00390E22">
      <w:pPr>
        <w:jc w:val="right"/>
        <w:rPr>
          <w:rFonts w:ascii="Calibri Light" w:hAnsi="Calibri Light" w:cs="Calibri Light"/>
          <w:bCs/>
          <w:color w:val="000000"/>
          <w:sz w:val="24"/>
          <w:szCs w:val="24"/>
        </w:rPr>
      </w:pPr>
      <w:r>
        <w:rPr>
          <w:rFonts w:ascii="Calibri Light" w:hAnsi="Calibri Light" w:cs="Calibri Light"/>
          <w:bCs/>
          <w:i/>
          <w:iCs/>
          <w:color w:val="000000"/>
          <w:sz w:val="24"/>
          <w:szCs w:val="24"/>
        </w:rPr>
        <w:t>« </w:t>
      </w:r>
      <w:r w:rsidRPr="00A87A0F">
        <w:rPr>
          <w:rFonts w:ascii="Calibri Light" w:hAnsi="Calibri Light" w:cs="Calibri Light"/>
          <w:bCs/>
          <w:i/>
          <w:iCs/>
          <w:color w:val="000000"/>
          <w:sz w:val="24"/>
          <w:szCs w:val="24"/>
        </w:rPr>
        <w:t>Qu’est-ce que la politique monétaire</w:t>
      </w:r>
      <w:r>
        <w:rPr>
          <w:rFonts w:ascii="Calibri Light" w:hAnsi="Calibri Light" w:cs="Calibri Light"/>
          <w:bCs/>
          <w:i/>
          <w:iCs/>
          <w:color w:val="000000"/>
          <w:sz w:val="24"/>
          <w:szCs w:val="24"/>
        </w:rPr>
        <w:t> ? »</w:t>
      </w:r>
      <w:r w:rsidRPr="00A87A0F">
        <w:rPr>
          <w:rFonts w:ascii="Calibri Light" w:hAnsi="Calibri Light" w:cs="Calibri Light"/>
          <w:bCs/>
          <w:color w:val="000000"/>
          <w:sz w:val="24"/>
          <w:szCs w:val="24"/>
        </w:rPr>
        <w:t>, L’eco en bref, Banque de France, juin 2017</w:t>
      </w:r>
    </w:p>
    <w:p w:rsidR="006D4107" w:rsidRDefault="006D4107" w:rsidP="00390E22">
      <w:pPr>
        <w:pBdr>
          <w:top w:val="single" w:sz="4" w:space="1" w:color="auto"/>
          <w:left w:val="single" w:sz="4" w:space="4" w:color="auto"/>
          <w:bottom w:val="single" w:sz="4" w:space="1" w:color="auto"/>
          <w:right w:val="single" w:sz="4" w:space="4" w:color="auto"/>
        </w:pBdr>
        <w:rPr>
          <w:noProof/>
        </w:rPr>
      </w:pPr>
      <w:r w:rsidRPr="00C80CA1">
        <w:rPr>
          <w:b/>
          <w:bCs/>
          <w:noProof/>
        </w:rPr>
        <w:t>Les taux directeurs</w:t>
      </w:r>
      <w:r>
        <w:rPr>
          <w:noProof/>
        </w:rPr>
        <w:t> : il s’agit à la fois du taux de refinancement</w:t>
      </w:r>
      <w:r w:rsidR="00C80CA1">
        <w:rPr>
          <w:noProof/>
        </w:rPr>
        <w:t xml:space="preserve"> (taux « refi »), du taux de prêt marginal (à très court terme) et du taux de rémunération des dépôts. Lorsqu’on utilise l’expression de « taux directeur » au singulier, il s’agit du principal taux directeur c’est-à-dire du taux de refinancement. C’est à ce taux de les banques de second rang se refinancent auprès de la banque centrale ce qui signifie que c’est à ce taux qu’elles empruntent des liquidités.</w:t>
      </w:r>
    </w:p>
    <w:p w:rsidR="00A87A0F" w:rsidRPr="00390E22" w:rsidRDefault="001A0C28" w:rsidP="00390E22">
      <w:pPr>
        <w:pBdr>
          <w:top w:val="single" w:sz="4" w:space="1" w:color="auto"/>
          <w:left w:val="single" w:sz="4" w:space="4" w:color="auto"/>
          <w:bottom w:val="single" w:sz="4" w:space="1" w:color="auto"/>
          <w:right w:val="single" w:sz="4" w:space="4" w:color="auto"/>
        </w:pBdr>
        <w:rPr>
          <w:noProof/>
        </w:rPr>
      </w:pPr>
      <w:r w:rsidRPr="00C80CA1">
        <w:rPr>
          <w:b/>
          <w:bCs/>
          <w:noProof/>
        </w:rPr>
        <w:t>SEBC</w:t>
      </w:r>
      <w:r>
        <w:rPr>
          <w:noProof/>
        </w:rPr>
        <w:t> : Système européen de banques cenrales</w:t>
      </w:r>
      <w:r w:rsidR="00390E22">
        <w:rPr>
          <w:noProof/>
        </w:rPr>
        <w:t xml:space="preserve"> </w:t>
      </w:r>
      <w:r w:rsidR="00390E22">
        <w:t>(SEBC) est composé de la BCE et des banques centrales nationales (BCN) de tous les États membres de l’UE qu’ils aient ou non adopté l’euro.</w:t>
      </w:r>
    </w:p>
    <w:p w:rsidR="007B6430" w:rsidRDefault="007B6430" w:rsidP="006D4107">
      <w:pPr>
        <w:numPr>
          <w:ilvl w:val="0"/>
          <w:numId w:val="31"/>
        </w:numPr>
        <w:spacing w:after="0" w:line="240" w:lineRule="auto"/>
        <w:ind w:left="714" w:hanging="357"/>
        <w:rPr>
          <w:rFonts w:ascii="Calibri Light" w:hAnsi="Calibri Light" w:cs="Calibri Light"/>
          <w:bCs/>
          <w:color w:val="000000"/>
          <w:sz w:val="24"/>
          <w:szCs w:val="24"/>
        </w:rPr>
      </w:pPr>
      <w:r w:rsidRPr="007B6430">
        <w:rPr>
          <w:rFonts w:ascii="Calibri Light" w:hAnsi="Calibri Light" w:cs="Calibri Light"/>
          <w:bCs/>
          <w:color w:val="000000"/>
          <w:sz w:val="24"/>
          <w:szCs w:val="24"/>
        </w:rPr>
        <w:t>Qu’est-ce que l’</w:t>
      </w:r>
      <w:r>
        <w:rPr>
          <w:rFonts w:ascii="Calibri Light" w:hAnsi="Calibri Light" w:cs="Calibri Light"/>
          <w:bCs/>
          <w:color w:val="000000"/>
          <w:sz w:val="24"/>
          <w:szCs w:val="24"/>
        </w:rPr>
        <w:t>E</w:t>
      </w:r>
      <w:r w:rsidRPr="007B6430">
        <w:rPr>
          <w:rFonts w:ascii="Calibri Light" w:hAnsi="Calibri Light" w:cs="Calibri Light"/>
          <w:bCs/>
          <w:color w:val="000000"/>
          <w:sz w:val="24"/>
          <w:szCs w:val="24"/>
        </w:rPr>
        <w:t>urosystème</w:t>
      </w:r>
      <w:r>
        <w:rPr>
          <w:rFonts w:ascii="Calibri Light" w:hAnsi="Calibri Light" w:cs="Calibri Light"/>
          <w:bCs/>
          <w:color w:val="000000"/>
          <w:sz w:val="24"/>
          <w:szCs w:val="24"/>
        </w:rPr>
        <w:t xml:space="preserve"> ? Quelle </w:t>
      </w:r>
      <w:r w:rsidR="00E659EC">
        <w:rPr>
          <w:rFonts w:ascii="Calibri Light" w:hAnsi="Calibri Light" w:cs="Calibri Light"/>
          <w:bCs/>
          <w:color w:val="000000"/>
          <w:sz w:val="24"/>
          <w:szCs w:val="24"/>
        </w:rPr>
        <w:t xml:space="preserve">est la </w:t>
      </w:r>
      <w:r>
        <w:rPr>
          <w:rFonts w:ascii="Calibri Light" w:hAnsi="Calibri Light" w:cs="Calibri Light"/>
          <w:bCs/>
          <w:color w:val="000000"/>
          <w:sz w:val="24"/>
          <w:szCs w:val="24"/>
        </w:rPr>
        <w:t>différence avec le SEBC</w:t>
      </w:r>
      <w:r w:rsidRPr="007B6430">
        <w:rPr>
          <w:rFonts w:ascii="Calibri Light" w:hAnsi="Calibri Light" w:cs="Calibri Light"/>
          <w:bCs/>
          <w:color w:val="000000"/>
          <w:sz w:val="24"/>
          <w:szCs w:val="24"/>
        </w:rPr>
        <w:t> ?</w:t>
      </w:r>
    </w:p>
    <w:p w:rsidR="00390E22" w:rsidRDefault="00390E22" w:rsidP="006D4107">
      <w:pPr>
        <w:numPr>
          <w:ilvl w:val="0"/>
          <w:numId w:val="31"/>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Quel est le principal instrument de la politique monétaire dans la zone euro ?</w:t>
      </w:r>
    </w:p>
    <w:p w:rsidR="00390E22" w:rsidRDefault="00390E22" w:rsidP="006D4107">
      <w:pPr>
        <w:numPr>
          <w:ilvl w:val="0"/>
          <w:numId w:val="31"/>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lastRenderedPageBreak/>
        <w:t>Pourquoi peut-on dire que le taux directeur agit par plusieurs canaux de transmission ?</w:t>
      </w:r>
    </w:p>
    <w:p w:rsidR="006D4107" w:rsidRDefault="006D4107" w:rsidP="006D4107">
      <w:pPr>
        <w:numPr>
          <w:ilvl w:val="0"/>
          <w:numId w:val="31"/>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Montrez à l’aide d’un schéma qu’une variation du taux directeur peut stimuler la demande globale via le canal sur prix des actifs.</w:t>
      </w:r>
    </w:p>
    <w:p w:rsidR="00390E22" w:rsidRPr="007B6430" w:rsidRDefault="00390E22" w:rsidP="006D4107">
      <w:pPr>
        <w:numPr>
          <w:ilvl w:val="0"/>
          <w:numId w:val="31"/>
        </w:numPr>
        <w:spacing w:after="0" w:line="240" w:lineRule="auto"/>
        <w:ind w:left="714" w:hanging="357"/>
        <w:rPr>
          <w:rFonts w:ascii="Calibri Light" w:hAnsi="Calibri Light" w:cs="Calibri Light"/>
          <w:bCs/>
          <w:color w:val="000000"/>
          <w:sz w:val="24"/>
          <w:szCs w:val="24"/>
        </w:rPr>
      </w:pPr>
      <w:r>
        <w:rPr>
          <w:rFonts w:ascii="Calibri Light" w:hAnsi="Calibri Light" w:cs="Calibri Light"/>
          <w:bCs/>
          <w:color w:val="000000"/>
          <w:sz w:val="24"/>
          <w:szCs w:val="24"/>
        </w:rPr>
        <w:t xml:space="preserve">La BCE dispose-t-elle </w:t>
      </w:r>
      <w:r w:rsidR="006D4107">
        <w:rPr>
          <w:rFonts w:ascii="Calibri Light" w:hAnsi="Calibri Light" w:cs="Calibri Light"/>
          <w:bCs/>
          <w:color w:val="000000"/>
          <w:sz w:val="24"/>
          <w:szCs w:val="24"/>
        </w:rPr>
        <w:t>seulement du taux directeur</w:t>
      </w:r>
      <w:r>
        <w:rPr>
          <w:rFonts w:ascii="Calibri Light" w:hAnsi="Calibri Light" w:cs="Calibri Light"/>
          <w:bCs/>
          <w:color w:val="000000"/>
          <w:sz w:val="24"/>
          <w:szCs w:val="24"/>
        </w:rPr>
        <w:t xml:space="preserve"> pour conduire la politique monétaire ?</w:t>
      </w:r>
    </w:p>
    <w:p w:rsidR="00A87A0F" w:rsidRDefault="00A87A0F" w:rsidP="00A13627">
      <w:pPr>
        <w:rPr>
          <w:rFonts w:ascii="Calibri Light" w:hAnsi="Calibri Light" w:cs="Calibri Light"/>
          <w:b/>
          <w:color w:val="000000"/>
          <w:sz w:val="28"/>
          <w:szCs w:val="28"/>
        </w:rPr>
      </w:pPr>
    </w:p>
    <w:p w:rsidR="00C250FA" w:rsidRDefault="00C250FA" w:rsidP="00A13627">
      <w:pPr>
        <w:rPr>
          <w:rFonts w:ascii="Calibri Light" w:hAnsi="Calibri Light" w:cs="Calibri Light"/>
          <w:b/>
          <w:color w:val="000000"/>
          <w:sz w:val="28"/>
          <w:szCs w:val="28"/>
        </w:rPr>
      </w:pPr>
    </w:p>
    <w:p w:rsidR="00A13627" w:rsidRDefault="00A13627" w:rsidP="00A13627">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w:t>
      </w:r>
      <w:r w:rsidR="00A87A0F">
        <w:rPr>
          <w:rFonts w:ascii="Calibri Light" w:hAnsi="Calibri Light" w:cs="Calibri Light"/>
          <w:b/>
          <w:color w:val="000000"/>
          <w:sz w:val="28"/>
          <w:szCs w:val="28"/>
        </w:rPr>
        <w:t>5</w:t>
      </w:r>
      <w:r>
        <w:rPr>
          <w:rFonts w:ascii="Calibri Light" w:hAnsi="Calibri Light" w:cs="Calibri Light"/>
          <w:b/>
          <w:color w:val="000000"/>
          <w:sz w:val="28"/>
          <w:szCs w:val="28"/>
        </w:rPr>
        <w:t xml:space="preserve"> : Les politiques monétaires </w:t>
      </w:r>
      <w:r w:rsidR="00C250FA">
        <w:rPr>
          <w:rFonts w:ascii="Calibri Light" w:hAnsi="Calibri Light" w:cs="Calibri Light"/>
          <w:b/>
          <w:color w:val="000000"/>
          <w:sz w:val="28"/>
          <w:szCs w:val="28"/>
        </w:rPr>
        <w:t xml:space="preserve">conventionnelles </w:t>
      </w:r>
      <w:r>
        <w:rPr>
          <w:rFonts w:ascii="Calibri Light" w:hAnsi="Calibri Light" w:cs="Calibri Light"/>
          <w:b/>
          <w:color w:val="000000"/>
          <w:sz w:val="28"/>
          <w:szCs w:val="28"/>
        </w:rPr>
        <w:t>depuis 2005</w:t>
      </w:r>
    </w:p>
    <w:p w:rsidR="00A13627" w:rsidRDefault="00A13627" w:rsidP="0015359B">
      <w:pPr>
        <w:spacing w:after="0" w:line="240" w:lineRule="auto"/>
        <w:jc w:val="left"/>
        <w:rPr>
          <w:rFonts w:ascii="Calibri Light" w:hAnsi="Calibri Light" w:cs="Calibri Light"/>
          <w:bCs/>
          <w:color w:val="000000"/>
          <w:sz w:val="24"/>
          <w:szCs w:val="24"/>
        </w:rPr>
      </w:pPr>
    </w:p>
    <w:p w:rsidR="00A13627" w:rsidRDefault="00ED57C2" w:rsidP="0015359B">
      <w:pPr>
        <w:spacing w:after="0" w:line="240" w:lineRule="auto"/>
        <w:jc w:val="left"/>
        <w:rPr>
          <w:rFonts w:ascii="Calibri Light" w:hAnsi="Calibri Light" w:cs="Calibri Light"/>
          <w:bCs/>
          <w:color w:val="000000"/>
          <w:sz w:val="24"/>
          <w:szCs w:val="24"/>
        </w:rPr>
      </w:pPr>
      <w:r>
        <w:rPr>
          <w:noProof/>
          <w:lang w:eastAsia="fr-FR"/>
        </w:rPr>
        <w:drawing>
          <wp:inline distT="0" distB="0" distL="0" distR="0">
            <wp:extent cx="6543675" cy="3800475"/>
            <wp:effectExtent l="19050" t="0" r="9525" b="0"/>
            <wp:docPr id="3" name="Image 3" descr="graphiq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que1"/>
                    <pic:cNvPicPr>
                      <a:picLocks noChangeAspect="1" noChangeArrowheads="1"/>
                    </pic:cNvPicPr>
                  </pic:nvPicPr>
                  <pic:blipFill>
                    <a:blip r:embed="rId8"/>
                    <a:srcRect/>
                    <a:stretch>
                      <a:fillRect/>
                    </a:stretch>
                  </pic:blipFill>
                  <pic:spPr bwMode="auto">
                    <a:xfrm>
                      <a:off x="0" y="0"/>
                      <a:ext cx="6543675" cy="3800475"/>
                    </a:xfrm>
                    <a:prstGeom prst="rect">
                      <a:avLst/>
                    </a:prstGeom>
                    <a:noFill/>
                    <a:ln w="9525">
                      <a:noFill/>
                      <a:miter lim="800000"/>
                      <a:headEnd/>
                      <a:tailEnd/>
                    </a:ln>
                  </pic:spPr>
                </pic:pic>
              </a:graphicData>
            </a:graphic>
          </wp:inline>
        </w:drawing>
      </w:r>
    </w:p>
    <w:p w:rsidR="00A13627" w:rsidRDefault="00A13627" w:rsidP="0015359B">
      <w:pPr>
        <w:spacing w:after="0" w:line="240" w:lineRule="auto"/>
        <w:jc w:val="left"/>
        <w:rPr>
          <w:rFonts w:ascii="Calibri Light" w:hAnsi="Calibri Light" w:cs="Calibri Light"/>
          <w:bCs/>
          <w:color w:val="000000"/>
          <w:sz w:val="24"/>
          <w:szCs w:val="24"/>
        </w:rPr>
      </w:pPr>
    </w:p>
    <w:p w:rsidR="000F2B0B" w:rsidRDefault="000F2B0B" w:rsidP="0015359B">
      <w:pPr>
        <w:spacing w:after="0" w:line="240" w:lineRule="auto"/>
        <w:jc w:val="left"/>
        <w:rPr>
          <w:rFonts w:ascii="Calibri Light" w:hAnsi="Calibri Light" w:cs="Calibri Light"/>
          <w:bCs/>
          <w:color w:val="000000"/>
          <w:sz w:val="24"/>
          <w:szCs w:val="24"/>
        </w:rPr>
      </w:pPr>
    </w:p>
    <w:p w:rsidR="000F2B0B" w:rsidRDefault="000F2B0B" w:rsidP="000F2B0B">
      <w:pPr>
        <w:numPr>
          <w:ilvl w:val="0"/>
          <w:numId w:val="2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 était en 2021 le taux directeur de la BCE ? Qu’est-ce que cela signifie exactement ?</w:t>
      </w:r>
    </w:p>
    <w:p w:rsidR="00A13627" w:rsidRDefault="000F2B0B" w:rsidP="000F2B0B">
      <w:pPr>
        <w:numPr>
          <w:ilvl w:val="0"/>
          <w:numId w:val="2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Identifiez pour la zone euro une période de politique monétaire expansive et une période de politique monétaire restrictive.</w:t>
      </w:r>
    </w:p>
    <w:p w:rsidR="000F2B0B" w:rsidRDefault="000F2B0B" w:rsidP="000F2B0B">
      <w:pPr>
        <w:numPr>
          <w:ilvl w:val="0"/>
          <w:numId w:val="2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Pour quelles raisons, entre 2005 et 2008, la BCE a-t-elle relevé progressivement son taux directeur ?</w:t>
      </w:r>
    </w:p>
    <w:p w:rsidR="000F2B0B" w:rsidRDefault="000F2B0B" w:rsidP="000F2B0B">
      <w:pPr>
        <w:numPr>
          <w:ilvl w:val="0"/>
          <w:numId w:val="2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Pour quelles raisons le diminue-t-elle à partir de 2009 ?</w:t>
      </w:r>
    </w:p>
    <w:p w:rsidR="000F2B0B" w:rsidRDefault="000F2B0B" w:rsidP="000F2B0B">
      <w:pPr>
        <w:numPr>
          <w:ilvl w:val="0"/>
          <w:numId w:val="2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Comparez l’évolution des 3 taux directeurs, que remarquez-vous ? Comment l’expliquer ?</w:t>
      </w:r>
    </w:p>
    <w:p w:rsidR="00C250FA" w:rsidRDefault="00C250FA" w:rsidP="00C250FA">
      <w:pPr>
        <w:spacing w:after="0" w:line="240" w:lineRule="auto"/>
        <w:jc w:val="left"/>
        <w:rPr>
          <w:rFonts w:ascii="Calibri Light" w:hAnsi="Calibri Light" w:cs="Calibri Light"/>
          <w:bCs/>
          <w:color w:val="000000"/>
          <w:sz w:val="24"/>
          <w:szCs w:val="24"/>
        </w:rPr>
      </w:pPr>
    </w:p>
    <w:p w:rsidR="00636946" w:rsidRDefault="00636946" w:rsidP="00C250FA">
      <w:pPr>
        <w:rPr>
          <w:rFonts w:ascii="Calibri Light" w:hAnsi="Calibri Light" w:cs="Calibri Light"/>
          <w:b/>
          <w:color w:val="000000"/>
          <w:sz w:val="28"/>
          <w:szCs w:val="28"/>
        </w:rPr>
      </w:pPr>
    </w:p>
    <w:p w:rsidR="00C250FA" w:rsidRDefault="00C250FA" w:rsidP="00C250F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6 : </w:t>
      </w:r>
      <w:r w:rsidR="00636946">
        <w:rPr>
          <w:rFonts w:ascii="Calibri Light" w:hAnsi="Calibri Light" w:cs="Calibri Light"/>
          <w:b/>
          <w:color w:val="000000"/>
          <w:sz w:val="28"/>
          <w:szCs w:val="28"/>
        </w:rPr>
        <w:t>L’introduction des</w:t>
      </w:r>
      <w:r>
        <w:rPr>
          <w:rFonts w:ascii="Calibri Light" w:hAnsi="Calibri Light" w:cs="Calibri Light"/>
          <w:b/>
          <w:color w:val="000000"/>
          <w:sz w:val="28"/>
          <w:szCs w:val="28"/>
        </w:rPr>
        <w:t xml:space="preserve"> monétaires non conventionnelles</w:t>
      </w:r>
    </w:p>
    <w:p w:rsidR="00C250FA" w:rsidRPr="00132B8B" w:rsidRDefault="00C250FA" w:rsidP="00C250FA">
      <w:pPr>
        <w:rPr>
          <w:rFonts w:ascii="Calibri Light" w:hAnsi="Calibri Light" w:cs="Calibri Light"/>
          <w:sz w:val="24"/>
          <w:szCs w:val="24"/>
        </w:rPr>
      </w:pPr>
      <w:r w:rsidRPr="00132B8B">
        <w:rPr>
          <w:rFonts w:ascii="Calibri Light" w:hAnsi="Calibri Light" w:cs="Calibri Light"/>
          <w:sz w:val="24"/>
          <w:szCs w:val="24"/>
        </w:rPr>
        <w:t xml:space="preserve">L’inefficacité des politiques monétaires conventionnelles a nécessité de trouver de nouveaux outils à la politique monétaire : les politiques monétaires dites « non conventionnelles ». Il s’agit par exemple du guidage des anticipations (« forward guidance »), et de l’achat massif de titres (assouplissement quantitatif : « Quantitative Easing »). Le guidage des anticipations consiste, pour une Banque centrale, à annoncer en avance les orientations de ses futures décisions quant à la fixation des taux d’intérêt directeurs. Ce guidage des anticipations crée un effet de signal qui permet à la politique monétaire d’avoir un impact avant d’être effectivement conduite. L’assouplissement quantitatif consiste pour une Banque centrale à intervenir de </w:t>
      </w:r>
      <w:r w:rsidRPr="00132B8B">
        <w:rPr>
          <w:rFonts w:ascii="Calibri Light" w:hAnsi="Calibri Light" w:cs="Calibri Light"/>
          <w:sz w:val="24"/>
          <w:szCs w:val="24"/>
        </w:rPr>
        <w:lastRenderedPageBreak/>
        <w:t>façon massive, généralisée et prolongée, sur les marchés secondaires en achetant massivement des actifs financiers aux banques de second rang. Ces actifs sont principalement des obligations émises par les États de la zone euro. Ces achats augmentent la quantité de monnaie en circulation et font baisser les taux d’intérêt, agissant ainsi contre le ralentissement de la croissance et aussi contre le risque de déflation.</w:t>
      </w:r>
    </w:p>
    <w:p w:rsidR="00905059" w:rsidRPr="00132B8B" w:rsidRDefault="00905059" w:rsidP="00C250FA">
      <w:pPr>
        <w:rPr>
          <w:rFonts w:ascii="Calibri Light" w:hAnsi="Calibri Light" w:cs="Calibri Light"/>
          <w:sz w:val="24"/>
          <w:szCs w:val="24"/>
        </w:rPr>
      </w:pPr>
      <w:r w:rsidRPr="00132B8B">
        <w:rPr>
          <w:rFonts w:ascii="Calibri Light" w:hAnsi="Calibri Light" w:cs="Calibri Light"/>
          <w:b/>
          <w:bCs/>
          <w:sz w:val="24"/>
          <w:szCs w:val="24"/>
        </w:rPr>
        <w:t>Source </w:t>
      </w:r>
      <w:r w:rsidRPr="00132B8B">
        <w:rPr>
          <w:rFonts w:ascii="Calibri Light" w:hAnsi="Calibri Light" w:cs="Calibri Light"/>
          <w:sz w:val="24"/>
          <w:szCs w:val="24"/>
        </w:rPr>
        <w:t>: Fiches éduscol</w:t>
      </w:r>
    </w:p>
    <w:p w:rsidR="00905059" w:rsidRPr="00132B8B" w:rsidRDefault="00905059" w:rsidP="003246C4">
      <w:pPr>
        <w:numPr>
          <w:ilvl w:val="0"/>
          <w:numId w:val="29"/>
        </w:numPr>
        <w:spacing w:after="0"/>
        <w:ind w:left="714" w:hanging="357"/>
        <w:rPr>
          <w:rFonts w:ascii="Calibri Light" w:hAnsi="Calibri Light" w:cs="Calibri Light"/>
          <w:sz w:val="24"/>
          <w:szCs w:val="24"/>
        </w:rPr>
      </w:pPr>
      <w:r w:rsidRPr="00132B8B">
        <w:rPr>
          <w:rFonts w:ascii="Calibri Light" w:hAnsi="Calibri Light" w:cs="Calibri Light"/>
          <w:sz w:val="24"/>
          <w:szCs w:val="24"/>
        </w:rPr>
        <w:t>Pour quelle raison des politiques monétaires « non conventionnelles » ont-elles été mise en œuvre ?</w:t>
      </w:r>
    </w:p>
    <w:p w:rsidR="00905059" w:rsidRPr="00132B8B" w:rsidRDefault="00905059" w:rsidP="003246C4">
      <w:pPr>
        <w:numPr>
          <w:ilvl w:val="0"/>
          <w:numId w:val="29"/>
        </w:numPr>
        <w:spacing w:after="0"/>
        <w:ind w:left="714" w:hanging="357"/>
        <w:rPr>
          <w:rFonts w:ascii="Calibri Light" w:hAnsi="Calibri Light" w:cs="Calibri Light"/>
          <w:sz w:val="24"/>
          <w:szCs w:val="24"/>
        </w:rPr>
      </w:pPr>
      <w:r w:rsidRPr="00132B8B">
        <w:rPr>
          <w:rFonts w:ascii="Calibri Light" w:hAnsi="Calibri Light" w:cs="Calibri Light"/>
          <w:sz w:val="24"/>
          <w:szCs w:val="24"/>
        </w:rPr>
        <w:t>Réalisez un schéma simple présentant les deux types de politiques non conventionnelles et leurs principes de fonctionnement.</w:t>
      </w:r>
    </w:p>
    <w:p w:rsidR="00905059" w:rsidRDefault="00905059" w:rsidP="00C250FA">
      <w:pPr>
        <w:rPr>
          <w:rFonts w:ascii="Calibri Light" w:hAnsi="Calibri Light" w:cs="Calibri Light"/>
          <w:b/>
          <w:color w:val="000000"/>
          <w:sz w:val="28"/>
          <w:szCs w:val="28"/>
        </w:rPr>
      </w:pPr>
    </w:p>
    <w:p w:rsidR="00C250FA" w:rsidRDefault="00C250FA" w:rsidP="00C250FA">
      <w:pPr>
        <w:spacing w:after="0" w:line="240" w:lineRule="auto"/>
        <w:jc w:val="left"/>
        <w:rPr>
          <w:rFonts w:ascii="Calibri Light" w:hAnsi="Calibri Light" w:cs="Calibri Light"/>
          <w:bCs/>
          <w:color w:val="000000"/>
          <w:sz w:val="24"/>
          <w:szCs w:val="24"/>
        </w:rPr>
      </w:pPr>
    </w:p>
    <w:p w:rsidR="000F2B0B" w:rsidRDefault="000F2B0B" w:rsidP="000F2B0B">
      <w:pPr>
        <w:spacing w:after="0" w:line="240" w:lineRule="auto"/>
        <w:jc w:val="left"/>
        <w:rPr>
          <w:rFonts w:ascii="Calibri Light" w:hAnsi="Calibri Light" w:cs="Calibri Light"/>
          <w:bCs/>
          <w:color w:val="000000"/>
          <w:sz w:val="24"/>
          <w:szCs w:val="24"/>
        </w:rPr>
      </w:pPr>
    </w:p>
    <w:p w:rsidR="00755808" w:rsidRPr="005B43FE" w:rsidRDefault="00755808" w:rsidP="00791EC5">
      <w:pPr>
        <w:spacing w:after="0" w:line="240" w:lineRule="auto"/>
        <w:jc w:val="left"/>
        <w:rPr>
          <w:rFonts w:ascii="Calibri Light" w:hAnsi="Calibri Light" w:cs="Calibri Light"/>
          <w:bCs/>
          <w:color w:val="000000"/>
          <w:sz w:val="24"/>
          <w:szCs w:val="24"/>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596EA5" w:rsidRDefault="0059493B" w:rsidP="00596EA5">
      <w:pPr>
        <w:jc w:val="center"/>
        <w:rPr>
          <w:rFonts w:ascii="Calibri Light" w:hAnsi="Calibri Light" w:cs="Calibri Light"/>
          <w:b/>
          <w:color w:val="000000"/>
          <w:sz w:val="28"/>
          <w:szCs w:val="28"/>
        </w:rPr>
      </w:pPr>
      <w:r>
        <w:rPr>
          <w:rFonts w:ascii="Calibri Light" w:hAnsi="Calibri Light" w:cs="Calibri Light"/>
          <w:b/>
          <w:color w:val="000000"/>
          <w:sz w:val="28"/>
          <w:szCs w:val="28"/>
        </w:rPr>
        <w:t>Réalisation d’un podcast</w:t>
      </w:r>
    </w:p>
    <w:p w:rsidR="00670CE9" w:rsidRDefault="0059493B" w:rsidP="0059493B">
      <w:pPr>
        <w:spacing w:after="0" w:line="240" w:lineRule="auto"/>
        <w:jc w:val="center"/>
        <w:rPr>
          <w:rFonts w:ascii="Calibri Light" w:hAnsi="Calibri Light" w:cs="Calibri Light"/>
          <w:bCs/>
          <w:i/>
          <w:iCs/>
          <w:color w:val="000000"/>
          <w:sz w:val="28"/>
          <w:szCs w:val="28"/>
        </w:rPr>
      </w:pPr>
      <w:r>
        <w:rPr>
          <w:rFonts w:ascii="Calibri Light" w:hAnsi="Calibri Light" w:cs="Calibri Light"/>
          <w:bCs/>
          <w:i/>
          <w:iCs/>
          <w:color w:val="000000"/>
          <w:sz w:val="28"/>
          <w:szCs w:val="28"/>
        </w:rPr>
        <w:t>À partir de vos connaissances et du dossier documentaire, réalisez un podcast audio sur l’un des deux sujets proposés ci-dessous. Votre podcast doit respecter les contraintes suivantes :</w:t>
      </w:r>
    </w:p>
    <w:p w:rsidR="0059493B" w:rsidRPr="0059493B" w:rsidRDefault="0059493B" w:rsidP="0059493B">
      <w:pPr>
        <w:numPr>
          <w:ilvl w:val="0"/>
          <w:numId w:val="27"/>
        </w:numPr>
        <w:spacing w:after="0" w:line="240" w:lineRule="auto"/>
        <w:jc w:val="left"/>
        <w:rPr>
          <w:rFonts w:ascii="Calibri Light" w:hAnsi="Calibri Light" w:cs="Calibri Light"/>
          <w:b/>
          <w:i/>
          <w:iCs/>
          <w:color w:val="000000"/>
          <w:sz w:val="28"/>
          <w:szCs w:val="28"/>
        </w:rPr>
      </w:pPr>
      <w:r>
        <w:rPr>
          <w:rFonts w:ascii="Calibri Light" w:hAnsi="Calibri Light" w:cs="Calibri Light"/>
          <w:bCs/>
          <w:i/>
          <w:iCs/>
          <w:color w:val="000000"/>
          <w:sz w:val="28"/>
          <w:szCs w:val="28"/>
        </w:rPr>
        <w:t>Durée : 3 minutes (+/- 15 secondes)</w:t>
      </w:r>
    </w:p>
    <w:p w:rsidR="0059493B" w:rsidRPr="0059493B" w:rsidRDefault="0059493B" w:rsidP="0059493B">
      <w:pPr>
        <w:numPr>
          <w:ilvl w:val="0"/>
          <w:numId w:val="27"/>
        </w:numPr>
        <w:spacing w:after="0" w:line="240" w:lineRule="auto"/>
        <w:jc w:val="left"/>
        <w:rPr>
          <w:rFonts w:ascii="Calibri Light" w:hAnsi="Calibri Light" w:cs="Calibri Light"/>
          <w:b/>
          <w:i/>
          <w:iCs/>
          <w:color w:val="000000"/>
          <w:sz w:val="28"/>
          <w:szCs w:val="28"/>
        </w:rPr>
      </w:pPr>
      <w:r>
        <w:rPr>
          <w:rFonts w:ascii="Calibri Light" w:hAnsi="Calibri Light" w:cs="Calibri Light"/>
          <w:bCs/>
          <w:i/>
          <w:iCs/>
          <w:color w:val="000000"/>
          <w:sz w:val="28"/>
          <w:szCs w:val="28"/>
        </w:rPr>
        <w:t>Les termes clés du sujet doivent être définis</w:t>
      </w:r>
    </w:p>
    <w:p w:rsidR="0059493B" w:rsidRPr="0059493B" w:rsidRDefault="0059493B" w:rsidP="0059493B">
      <w:pPr>
        <w:numPr>
          <w:ilvl w:val="0"/>
          <w:numId w:val="27"/>
        </w:numPr>
        <w:spacing w:after="0" w:line="240" w:lineRule="auto"/>
        <w:jc w:val="left"/>
        <w:rPr>
          <w:rFonts w:ascii="Calibri Light" w:hAnsi="Calibri Light" w:cs="Calibri Light"/>
          <w:b/>
          <w:i/>
          <w:iCs/>
          <w:color w:val="000000"/>
          <w:sz w:val="28"/>
          <w:szCs w:val="28"/>
        </w:rPr>
      </w:pPr>
      <w:r>
        <w:rPr>
          <w:rFonts w:ascii="Calibri Light" w:hAnsi="Calibri Light" w:cs="Calibri Light"/>
          <w:bCs/>
          <w:i/>
          <w:iCs/>
          <w:color w:val="000000"/>
          <w:sz w:val="28"/>
          <w:szCs w:val="28"/>
        </w:rPr>
        <w:t>L’intervention doit être clairement structurée</w:t>
      </w:r>
    </w:p>
    <w:p w:rsidR="0059493B" w:rsidRPr="0059493B" w:rsidRDefault="0059493B" w:rsidP="0059493B">
      <w:pPr>
        <w:numPr>
          <w:ilvl w:val="0"/>
          <w:numId w:val="27"/>
        </w:numPr>
        <w:spacing w:after="0" w:line="240" w:lineRule="auto"/>
        <w:jc w:val="left"/>
        <w:rPr>
          <w:rFonts w:ascii="Calibri Light" w:hAnsi="Calibri Light" w:cs="Calibri Light"/>
          <w:b/>
          <w:i/>
          <w:iCs/>
          <w:color w:val="000000"/>
          <w:sz w:val="28"/>
          <w:szCs w:val="28"/>
        </w:rPr>
      </w:pPr>
      <w:r>
        <w:rPr>
          <w:rFonts w:ascii="Calibri Light" w:hAnsi="Calibri Light" w:cs="Calibri Light"/>
          <w:bCs/>
          <w:i/>
          <w:iCs/>
          <w:color w:val="000000"/>
          <w:sz w:val="28"/>
          <w:szCs w:val="28"/>
        </w:rPr>
        <w:t>L’intervention doit commencer par une brève accroche</w:t>
      </w:r>
    </w:p>
    <w:p w:rsidR="0059493B" w:rsidRPr="00E659EC" w:rsidRDefault="0059493B" w:rsidP="0059493B">
      <w:pPr>
        <w:numPr>
          <w:ilvl w:val="0"/>
          <w:numId w:val="27"/>
        </w:numPr>
        <w:spacing w:after="0" w:line="240" w:lineRule="auto"/>
        <w:jc w:val="left"/>
        <w:rPr>
          <w:rFonts w:ascii="Calibri Light" w:hAnsi="Calibri Light" w:cs="Calibri Light"/>
          <w:b/>
          <w:i/>
          <w:iCs/>
          <w:color w:val="000000"/>
          <w:sz w:val="28"/>
          <w:szCs w:val="28"/>
        </w:rPr>
      </w:pPr>
      <w:r>
        <w:rPr>
          <w:rFonts w:ascii="Calibri Light" w:hAnsi="Calibri Light" w:cs="Calibri Light"/>
          <w:bCs/>
          <w:i/>
          <w:iCs/>
          <w:color w:val="000000"/>
          <w:sz w:val="28"/>
          <w:szCs w:val="28"/>
        </w:rPr>
        <w:t>L’intervention doit se terminer par une ouverture</w:t>
      </w:r>
    </w:p>
    <w:p w:rsidR="00E659EC" w:rsidRPr="00670CE9" w:rsidRDefault="00E659EC" w:rsidP="00E659EC">
      <w:pPr>
        <w:spacing w:after="0" w:line="240" w:lineRule="auto"/>
        <w:ind w:left="720"/>
        <w:jc w:val="left"/>
        <w:rPr>
          <w:rFonts w:ascii="Calibri Light" w:hAnsi="Calibri Light" w:cs="Calibri Light"/>
          <w:b/>
          <w:i/>
          <w:iCs/>
          <w:color w:val="000000"/>
          <w:sz w:val="28"/>
          <w:szCs w:val="28"/>
        </w:rPr>
      </w:pPr>
    </w:p>
    <w:p w:rsidR="00670CE9" w:rsidRDefault="00670CE9" w:rsidP="00670CE9">
      <w:pPr>
        <w:jc w:val="left"/>
        <w:rPr>
          <w:rFonts w:ascii="Calibri Light" w:hAnsi="Calibri Light" w:cs="Calibri Light"/>
          <w:b/>
          <w:color w:val="000000"/>
          <w:sz w:val="28"/>
          <w:szCs w:val="28"/>
        </w:rPr>
      </w:pPr>
      <w:r>
        <w:rPr>
          <w:rFonts w:ascii="Calibri Light" w:hAnsi="Calibri Light" w:cs="Calibri Light"/>
          <w:b/>
          <w:color w:val="000000"/>
          <w:sz w:val="28"/>
          <w:szCs w:val="28"/>
        </w:rPr>
        <w:t xml:space="preserve">Sujet n° 1 : </w:t>
      </w:r>
      <w:r w:rsidR="0059493B">
        <w:rPr>
          <w:rFonts w:ascii="Calibri Light" w:hAnsi="Calibri Light" w:cs="Calibri Light"/>
          <w:bCs/>
          <w:color w:val="000000"/>
          <w:sz w:val="28"/>
          <w:szCs w:val="28"/>
        </w:rPr>
        <w:t>Les modalités des politiques budgétaires dans la zone euro.</w:t>
      </w:r>
    </w:p>
    <w:p w:rsidR="00670CE9" w:rsidRDefault="00670CE9" w:rsidP="00670CE9">
      <w:pPr>
        <w:jc w:val="left"/>
        <w:rPr>
          <w:rFonts w:ascii="Calibri Light" w:hAnsi="Calibri Light" w:cs="Calibri Light"/>
          <w:b/>
          <w:color w:val="000000"/>
          <w:sz w:val="28"/>
          <w:szCs w:val="28"/>
        </w:rPr>
      </w:pPr>
      <w:r>
        <w:rPr>
          <w:rFonts w:ascii="Calibri Light" w:hAnsi="Calibri Light" w:cs="Calibri Light"/>
          <w:b/>
          <w:color w:val="000000"/>
          <w:sz w:val="28"/>
          <w:szCs w:val="28"/>
        </w:rPr>
        <w:t xml:space="preserve">Sujet n° 2 : </w:t>
      </w:r>
      <w:r w:rsidR="0059493B">
        <w:rPr>
          <w:rFonts w:ascii="Calibri Light" w:hAnsi="Calibri Light" w:cs="Calibri Light"/>
          <w:bCs/>
          <w:color w:val="000000"/>
          <w:sz w:val="28"/>
          <w:szCs w:val="28"/>
        </w:rPr>
        <w:t>Quelles politiques monétaires la BCE peut-elle mener pour assurer la stabilité des prix ?</w:t>
      </w:r>
    </w:p>
    <w:p w:rsidR="00670CE9" w:rsidRDefault="00670CE9" w:rsidP="00596EA5">
      <w:pPr>
        <w:jc w:val="center"/>
        <w:rPr>
          <w:rFonts w:ascii="Calibri Light" w:hAnsi="Calibri Light" w:cs="Calibri Light"/>
          <w:b/>
          <w:color w:val="000000"/>
          <w:sz w:val="28"/>
          <w:szCs w:val="28"/>
        </w:rPr>
      </w:pPr>
    </w:p>
    <w:sectPr w:rsidR="00670CE9"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A7D6E"/>
    <w:multiLevelType w:val="multilevel"/>
    <w:tmpl w:val="7A7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23A3E"/>
    <w:multiLevelType w:val="hybridMultilevel"/>
    <w:tmpl w:val="B4EA1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CE72A5"/>
    <w:multiLevelType w:val="hybridMultilevel"/>
    <w:tmpl w:val="AB2E9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49403E"/>
    <w:multiLevelType w:val="hybridMultilevel"/>
    <w:tmpl w:val="C8504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D63060"/>
    <w:multiLevelType w:val="hybridMultilevel"/>
    <w:tmpl w:val="F7784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1F50C4"/>
    <w:multiLevelType w:val="hybridMultilevel"/>
    <w:tmpl w:val="399A4F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E83BB7"/>
    <w:multiLevelType w:val="hybridMultilevel"/>
    <w:tmpl w:val="3EF6F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5B73AC"/>
    <w:multiLevelType w:val="hybridMultilevel"/>
    <w:tmpl w:val="AB6260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707B4E"/>
    <w:multiLevelType w:val="multilevel"/>
    <w:tmpl w:val="7DE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5D1B77"/>
    <w:multiLevelType w:val="hybridMultilevel"/>
    <w:tmpl w:val="E3446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8E61A7"/>
    <w:multiLevelType w:val="hybridMultilevel"/>
    <w:tmpl w:val="C83AD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F354DD"/>
    <w:multiLevelType w:val="hybridMultilevel"/>
    <w:tmpl w:val="06949780"/>
    <w:lvl w:ilvl="0" w:tplc="93EE90A8">
      <w:numFmt w:val="bullet"/>
      <w:lvlText w:val="-"/>
      <w:lvlJc w:val="left"/>
      <w:pPr>
        <w:ind w:left="720" w:hanging="360"/>
      </w:pPr>
      <w:rPr>
        <w:rFonts w:ascii="Calibri Light" w:eastAsia="Calibri" w:hAnsi="Calibri Light" w:cs="Calibri Ligh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A4166C6"/>
    <w:multiLevelType w:val="hybridMultilevel"/>
    <w:tmpl w:val="65AE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C173D6"/>
    <w:multiLevelType w:val="hybridMultilevel"/>
    <w:tmpl w:val="E6DE5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D8A67A8"/>
    <w:multiLevelType w:val="hybridMultilevel"/>
    <w:tmpl w:val="1C901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345783"/>
    <w:multiLevelType w:val="hybridMultilevel"/>
    <w:tmpl w:val="32566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B5975E7"/>
    <w:multiLevelType w:val="hybridMultilevel"/>
    <w:tmpl w:val="B13AB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BEF7CDE"/>
    <w:multiLevelType w:val="hybridMultilevel"/>
    <w:tmpl w:val="4ACCF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BB06510"/>
    <w:multiLevelType w:val="hybridMultilevel"/>
    <w:tmpl w:val="FA867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E9274BD"/>
    <w:multiLevelType w:val="hybridMultilevel"/>
    <w:tmpl w:val="4DFC2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9"/>
  </w:num>
  <w:num w:numId="3">
    <w:abstractNumId w:val="7"/>
  </w:num>
  <w:num w:numId="4">
    <w:abstractNumId w:val="13"/>
  </w:num>
  <w:num w:numId="5">
    <w:abstractNumId w:val="31"/>
  </w:num>
  <w:num w:numId="6">
    <w:abstractNumId w:val="23"/>
  </w:num>
  <w:num w:numId="7">
    <w:abstractNumId w:val="0"/>
  </w:num>
  <w:num w:numId="8">
    <w:abstractNumId w:val="30"/>
  </w:num>
  <w:num w:numId="9">
    <w:abstractNumId w:val="5"/>
  </w:num>
  <w:num w:numId="10">
    <w:abstractNumId w:val="8"/>
  </w:num>
  <w:num w:numId="11">
    <w:abstractNumId w:val="26"/>
  </w:num>
  <w:num w:numId="12">
    <w:abstractNumId w:val="4"/>
  </w:num>
  <w:num w:numId="13">
    <w:abstractNumId w:val="11"/>
  </w:num>
  <w:num w:numId="14">
    <w:abstractNumId w:val="25"/>
  </w:num>
  <w:num w:numId="15">
    <w:abstractNumId w:val="19"/>
  </w:num>
  <w:num w:numId="16">
    <w:abstractNumId w:val="21"/>
  </w:num>
  <w:num w:numId="17">
    <w:abstractNumId w:val="27"/>
  </w:num>
  <w:num w:numId="18">
    <w:abstractNumId w:val="12"/>
  </w:num>
  <w:num w:numId="19">
    <w:abstractNumId w:val="9"/>
  </w:num>
  <w:num w:numId="20">
    <w:abstractNumId w:val="3"/>
  </w:num>
  <w:num w:numId="21">
    <w:abstractNumId w:val="10"/>
  </w:num>
  <w:num w:numId="22">
    <w:abstractNumId w:val="33"/>
  </w:num>
  <w:num w:numId="23">
    <w:abstractNumId w:val="2"/>
  </w:num>
  <w:num w:numId="24">
    <w:abstractNumId w:val="1"/>
  </w:num>
  <w:num w:numId="25">
    <w:abstractNumId w:val="15"/>
  </w:num>
  <w:num w:numId="26">
    <w:abstractNumId w:val="28"/>
  </w:num>
  <w:num w:numId="27">
    <w:abstractNumId w:val="18"/>
  </w:num>
  <w:num w:numId="28">
    <w:abstractNumId w:val="14"/>
  </w:num>
  <w:num w:numId="29">
    <w:abstractNumId w:val="24"/>
  </w:num>
  <w:num w:numId="30">
    <w:abstractNumId w:val="16"/>
  </w:num>
  <w:num w:numId="31">
    <w:abstractNumId w:val="22"/>
  </w:num>
  <w:num w:numId="32">
    <w:abstractNumId w:val="32"/>
  </w:num>
  <w:num w:numId="33">
    <w:abstractNumId w:val="17"/>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24F4D"/>
    <w:rsid w:val="000071D9"/>
    <w:rsid w:val="000836E8"/>
    <w:rsid w:val="0008410D"/>
    <w:rsid w:val="000871B7"/>
    <w:rsid w:val="000C1B58"/>
    <w:rsid w:val="000E2164"/>
    <w:rsid w:val="000F2B0B"/>
    <w:rsid w:val="00132B8B"/>
    <w:rsid w:val="0015359B"/>
    <w:rsid w:val="0015508A"/>
    <w:rsid w:val="00160F81"/>
    <w:rsid w:val="001A0C28"/>
    <w:rsid w:val="001B4E08"/>
    <w:rsid w:val="001C3A4D"/>
    <w:rsid w:val="001F776D"/>
    <w:rsid w:val="0024457C"/>
    <w:rsid w:val="00246A26"/>
    <w:rsid w:val="00294ADA"/>
    <w:rsid w:val="002D24CC"/>
    <w:rsid w:val="002E17F1"/>
    <w:rsid w:val="00310606"/>
    <w:rsid w:val="003246C4"/>
    <w:rsid w:val="003607C8"/>
    <w:rsid w:val="00372ECB"/>
    <w:rsid w:val="00390E22"/>
    <w:rsid w:val="003A4034"/>
    <w:rsid w:val="003B62FC"/>
    <w:rsid w:val="004667F2"/>
    <w:rsid w:val="004A433D"/>
    <w:rsid w:val="004D2CB5"/>
    <w:rsid w:val="004E5E52"/>
    <w:rsid w:val="00512970"/>
    <w:rsid w:val="0056010B"/>
    <w:rsid w:val="0059493B"/>
    <w:rsid w:val="00596EA5"/>
    <w:rsid w:val="005A1C3B"/>
    <w:rsid w:val="005B43FE"/>
    <w:rsid w:val="005F42C0"/>
    <w:rsid w:val="006039B4"/>
    <w:rsid w:val="00636946"/>
    <w:rsid w:val="0066278A"/>
    <w:rsid w:val="00670CE9"/>
    <w:rsid w:val="006D31D7"/>
    <w:rsid w:val="006D4107"/>
    <w:rsid w:val="006E5023"/>
    <w:rsid w:val="00751914"/>
    <w:rsid w:val="00755808"/>
    <w:rsid w:val="00755E4E"/>
    <w:rsid w:val="007624FB"/>
    <w:rsid w:val="00791EC5"/>
    <w:rsid w:val="007B6430"/>
    <w:rsid w:val="00824F4D"/>
    <w:rsid w:val="008325F6"/>
    <w:rsid w:val="008422BB"/>
    <w:rsid w:val="00902B78"/>
    <w:rsid w:val="00905059"/>
    <w:rsid w:val="0093266E"/>
    <w:rsid w:val="009413C9"/>
    <w:rsid w:val="00976A16"/>
    <w:rsid w:val="00991F49"/>
    <w:rsid w:val="009B763A"/>
    <w:rsid w:val="009F778B"/>
    <w:rsid w:val="00A13627"/>
    <w:rsid w:val="00A35123"/>
    <w:rsid w:val="00A87A0F"/>
    <w:rsid w:val="00AB6842"/>
    <w:rsid w:val="00AD133A"/>
    <w:rsid w:val="00AF22ED"/>
    <w:rsid w:val="00B57045"/>
    <w:rsid w:val="00B678C2"/>
    <w:rsid w:val="00B9780C"/>
    <w:rsid w:val="00BC43E7"/>
    <w:rsid w:val="00BC5C61"/>
    <w:rsid w:val="00BF0E2C"/>
    <w:rsid w:val="00C250FA"/>
    <w:rsid w:val="00C37707"/>
    <w:rsid w:val="00C41E81"/>
    <w:rsid w:val="00C80CA1"/>
    <w:rsid w:val="00C87291"/>
    <w:rsid w:val="00CD0C32"/>
    <w:rsid w:val="00CD4B8D"/>
    <w:rsid w:val="00CF1B79"/>
    <w:rsid w:val="00D03265"/>
    <w:rsid w:val="00D17D28"/>
    <w:rsid w:val="00D26556"/>
    <w:rsid w:val="00D61AEB"/>
    <w:rsid w:val="00DF1AEA"/>
    <w:rsid w:val="00E035DF"/>
    <w:rsid w:val="00E20F97"/>
    <w:rsid w:val="00E24ACD"/>
    <w:rsid w:val="00E3526D"/>
    <w:rsid w:val="00E659EC"/>
    <w:rsid w:val="00E94C64"/>
    <w:rsid w:val="00ED57C2"/>
    <w:rsid w:val="00EE6BB4"/>
    <w:rsid w:val="00EF5A9C"/>
    <w:rsid w:val="00F664AE"/>
    <w:rsid w:val="00FB76F6"/>
    <w:rsid w:val="00FE253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5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 w:type="character" w:styleId="Accentuation">
    <w:name w:val="Emphasis"/>
    <w:uiPriority w:val="20"/>
    <w:qFormat/>
    <w:rsid w:val="003B62FC"/>
    <w:rPr>
      <w:i/>
      <w:iCs/>
    </w:rPr>
  </w:style>
  <w:style w:type="character" w:styleId="Lienhypertextesuivivisit">
    <w:name w:val="FollowedHyperlink"/>
    <w:uiPriority w:val="99"/>
    <w:semiHidden/>
    <w:unhideWhenUsed/>
    <w:rsid w:val="003B62FC"/>
    <w:rPr>
      <w:color w:val="954F72"/>
      <w:u w:val="single"/>
    </w:rPr>
  </w:style>
  <w:style w:type="paragraph" w:customStyle="1" w:styleId="sc-axirz">
    <w:name w:val="sc-axirz"/>
    <w:basedOn w:val="Normal"/>
    <w:rsid w:val="007624F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olumn">
    <w:name w:val="column"/>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embed">
    <w:name w:val="c-social-share__list--embed"/>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u-show-for-medium">
    <w:name w:val="u-show-for-medium"/>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more">
    <w:name w:val="c-social-share__list--more"/>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c-font-size-switchertext">
    <w:name w:val="c-font-size-switcher__text"/>
    <w:basedOn w:val="Policepardfaut"/>
    <w:rsid w:val="0015359B"/>
  </w:style>
  <w:style w:type="paragraph" w:styleId="NormalWeb">
    <w:name w:val="Normal (Web)"/>
    <w:basedOn w:val="Normal"/>
    <w:uiPriority w:val="99"/>
    <w:semiHidden/>
    <w:unhideWhenUsed/>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ev">
    <w:name w:val="Strong"/>
    <w:qFormat/>
    <w:rsid w:val="001B4E08"/>
    <w:rPr>
      <w:b/>
      <w:bCs/>
    </w:rPr>
  </w:style>
  <w:style w:type="paragraph" w:styleId="Corpsdetexte">
    <w:name w:val="Body Text"/>
    <w:basedOn w:val="Normal"/>
    <w:link w:val="CorpsdetexteCar"/>
    <w:rsid w:val="001B4E08"/>
    <w:pPr>
      <w:suppressAutoHyphens/>
      <w:spacing w:before="120" w:after="0" w:line="360" w:lineRule="auto"/>
    </w:pPr>
    <w:rPr>
      <w:rFonts w:ascii="Comic Sans MS" w:eastAsia="Times New Roman" w:hAnsi="Comic Sans MS"/>
      <w:szCs w:val="20"/>
      <w:lang w:eastAsia="zh-CN"/>
    </w:rPr>
  </w:style>
  <w:style w:type="character" w:customStyle="1" w:styleId="CorpsdetexteCar">
    <w:name w:val="Corps de texte Car"/>
    <w:link w:val="Corpsdetexte"/>
    <w:rsid w:val="001B4E08"/>
    <w:rPr>
      <w:rFonts w:ascii="Comic Sans MS" w:eastAsia="Times New Roman" w:hAnsi="Comic Sans MS"/>
      <w:lang w:eastAsia="zh-CN"/>
    </w:rPr>
  </w:style>
</w:styles>
</file>

<file path=word/webSettings.xml><?xml version="1.0" encoding="utf-8"?>
<w:webSettings xmlns:r="http://schemas.openxmlformats.org/officeDocument/2006/relationships" xmlns:w="http://schemas.openxmlformats.org/wordprocessingml/2006/main">
  <w:divs>
    <w:div w:id="81419299">
      <w:bodyDiv w:val="1"/>
      <w:marLeft w:val="0"/>
      <w:marRight w:val="0"/>
      <w:marTop w:val="0"/>
      <w:marBottom w:val="0"/>
      <w:divBdr>
        <w:top w:val="none" w:sz="0" w:space="0" w:color="auto"/>
        <w:left w:val="none" w:sz="0" w:space="0" w:color="auto"/>
        <w:bottom w:val="none" w:sz="0" w:space="0" w:color="auto"/>
        <w:right w:val="none" w:sz="0" w:space="0" w:color="auto"/>
      </w:divBdr>
    </w:div>
    <w:div w:id="281961821">
      <w:bodyDiv w:val="1"/>
      <w:marLeft w:val="0"/>
      <w:marRight w:val="0"/>
      <w:marTop w:val="0"/>
      <w:marBottom w:val="0"/>
      <w:divBdr>
        <w:top w:val="none" w:sz="0" w:space="0" w:color="auto"/>
        <w:left w:val="none" w:sz="0" w:space="0" w:color="auto"/>
        <w:bottom w:val="none" w:sz="0" w:space="0" w:color="auto"/>
        <w:right w:val="none" w:sz="0" w:space="0" w:color="auto"/>
      </w:divBdr>
    </w:div>
    <w:div w:id="623540373">
      <w:bodyDiv w:val="1"/>
      <w:marLeft w:val="0"/>
      <w:marRight w:val="0"/>
      <w:marTop w:val="0"/>
      <w:marBottom w:val="0"/>
      <w:divBdr>
        <w:top w:val="none" w:sz="0" w:space="0" w:color="auto"/>
        <w:left w:val="none" w:sz="0" w:space="0" w:color="auto"/>
        <w:bottom w:val="none" w:sz="0" w:space="0" w:color="auto"/>
        <w:right w:val="none" w:sz="0" w:space="0" w:color="auto"/>
      </w:divBdr>
      <w:divsChild>
        <w:div w:id="106775451">
          <w:marLeft w:val="0"/>
          <w:marRight w:val="0"/>
          <w:marTop w:val="0"/>
          <w:marBottom w:val="0"/>
          <w:divBdr>
            <w:top w:val="none" w:sz="0" w:space="0" w:color="auto"/>
            <w:left w:val="none" w:sz="0" w:space="0" w:color="auto"/>
            <w:bottom w:val="none" w:sz="0" w:space="0" w:color="auto"/>
            <w:right w:val="none" w:sz="0" w:space="0" w:color="auto"/>
          </w:divBdr>
          <w:divsChild>
            <w:div w:id="1128277951">
              <w:marLeft w:val="0"/>
              <w:marRight w:val="0"/>
              <w:marTop w:val="0"/>
              <w:marBottom w:val="0"/>
              <w:divBdr>
                <w:top w:val="none" w:sz="0" w:space="0" w:color="auto"/>
                <w:left w:val="none" w:sz="0" w:space="0" w:color="auto"/>
                <w:bottom w:val="none" w:sz="0" w:space="0" w:color="auto"/>
                <w:right w:val="none" w:sz="0" w:space="0" w:color="auto"/>
              </w:divBdr>
            </w:div>
            <w:div w:id="1289511236">
              <w:marLeft w:val="0"/>
              <w:marRight w:val="0"/>
              <w:marTop w:val="0"/>
              <w:marBottom w:val="0"/>
              <w:divBdr>
                <w:top w:val="none" w:sz="0" w:space="0" w:color="auto"/>
                <w:left w:val="none" w:sz="0" w:space="0" w:color="auto"/>
                <w:bottom w:val="none" w:sz="0" w:space="0" w:color="auto"/>
                <w:right w:val="none" w:sz="0" w:space="0" w:color="auto"/>
              </w:divBdr>
            </w:div>
          </w:divsChild>
        </w:div>
        <w:div w:id="489446228">
          <w:marLeft w:val="0"/>
          <w:marRight w:val="0"/>
          <w:marTop w:val="0"/>
          <w:marBottom w:val="0"/>
          <w:divBdr>
            <w:top w:val="none" w:sz="0" w:space="0" w:color="auto"/>
            <w:left w:val="none" w:sz="0" w:space="0" w:color="auto"/>
            <w:bottom w:val="none" w:sz="0" w:space="0" w:color="auto"/>
            <w:right w:val="none" w:sz="0" w:space="0" w:color="auto"/>
          </w:divBdr>
          <w:divsChild>
            <w:div w:id="676343755">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0"/>
                  <w:marRight w:val="0"/>
                  <w:marTop w:val="0"/>
                  <w:marBottom w:val="0"/>
                  <w:divBdr>
                    <w:top w:val="none" w:sz="0" w:space="0" w:color="auto"/>
                    <w:left w:val="none" w:sz="0" w:space="0" w:color="auto"/>
                    <w:bottom w:val="none" w:sz="0" w:space="0" w:color="auto"/>
                    <w:right w:val="none" w:sz="0" w:space="0" w:color="auto"/>
                  </w:divBdr>
                  <w:divsChild>
                    <w:div w:id="14148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816">
          <w:marLeft w:val="0"/>
          <w:marRight w:val="0"/>
          <w:marTop w:val="0"/>
          <w:marBottom w:val="0"/>
          <w:divBdr>
            <w:top w:val="none" w:sz="0" w:space="0" w:color="auto"/>
            <w:left w:val="none" w:sz="0" w:space="0" w:color="auto"/>
            <w:bottom w:val="none" w:sz="0" w:space="0" w:color="auto"/>
            <w:right w:val="none" w:sz="0" w:space="0" w:color="auto"/>
          </w:divBdr>
          <w:divsChild>
            <w:div w:id="114491743">
              <w:marLeft w:val="0"/>
              <w:marRight w:val="0"/>
              <w:marTop w:val="0"/>
              <w:marBottom w:val="0"/>
              <w:divBdr>
                <w:top w:val="none" w:sz="0" w:space="0" w:color="auto"/>
                <w:left w:val="none" w:sz="0" w:space="0" w:color="auto"/>
                <w:bottom w:val="none" w:sz="0" w:space="0" w:color="auto"/>
                <w:right w:val="none" w:sz="0" w:space="0" w:color="auto"/>
              </w:divBdr>
              <w:divsChild>
                <w:div w:id="1687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3040">
      <w:bodyDiv w:val="1"/>
      <w:marLeft w:val="0"/>
      <w:marRight w:val="0"/>
      <w:marTop w:val="0"/>
      <w:marBottom w:val="0"/>
      <w:divBdr>
        <w:top w:val="none" w:sz="0" w:space="0" w:color="auto"/>
        <w:left w:val="none" w:sz="0" w:space="0" w:color="auto"/>
        <w:bottom w:val="none" w:sz="0" w:space="0" w:color="auto"/>
        <w:right w:val="none" w:sz="0" w:space="0" w:color="auto"/>
      </w:divBdr>
    </w:div>
    <w:div w:id="1556116345">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e-publique.fr/th/glossaire/marche-publi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e-publique.fr/th/glossaire/developpement-durable.html" TargetMode="External"/><Relationship Id="rId5" Type="http://schemas.openxmlformats.org/officeDocument/2006/relationships/hyperlink" Target="https://www.vie-publique.fr/fiches/270251-quest-ce-quune-politique-budgetai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2147</Words>
  <Characters>11812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13932</CharactersWithSpaces>
  <SharedDoc>false</SharedDoc>
  <HLinks>
    <vt:vector size="18" baseType="variant">
      <vt:variant>
        <vt:i4>3670122</vt:i4>
      </vt:variant>
      <vt:variant>
        <vt:i4>6</vt:i4>
      </vt:variant>
      <vt:variant>
        <vt:i4>0</vt:i4>
      </vt:variant>
      <vt:variant>
        <vt:i4>5</vt:i4>
      </vt:variant>
      <vt:variant>
        <vt:lpwstr>http://www.vie-publique.fr/th/glossaire/marche-public.html</vt:lpwstr>
      </vt:variant>
      <vt:variant>
        <vt:lpwstr/>
      </vt:variant>
      <vt:variant>
        <vt:i4>7143457</vt:i4>
      </vt:variant>
      <vt:variant>
        <vt:i4>3</vt:i4>
      </vt:variant>
      <vt:variant>
        <vt:i4>0</vt:i4>
      </vt:variant>
      <vt:variant>
        <vt:i4>5</vt:i4>
      </vt:variant>
      <vt:variant>
        <vt:lpwstr>http://www.vie-publique.fr/th/glossaire/developpement-durable.html</vt:lpwstr>
      </vt:variant>
      <vt:variant>
        <vt:lpwstr/>
      </vt:variant>
      <vt:variant>
        <vt:i4>196698</vt:i4>
      </vt:variant>
      <vt:variant>
        <vt:i4>0</vt:i4>
      </vt:variant>
      <vt:variant>
        <vt:i4>0</vt:i4>
      </vt:variant>
      <vt:variant>
        <vt:i4>5</vt:i4>
      </vt:variant>
      <vt:variant>
        <vt:lpwstr>https://www.vie-publique.fr/fiches/270251-quest-ce-quune-politique-budgetaire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2021-06-12T07:00:00Z</dcterms:created>
  <dcterms:modified xsi:type="dcterms:W3CDTF">2021-06-12T07:00:00Z</dcterms:modified>
</cp:coreProperties>
</file>