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824F4D" w:rsidRPr="00FE33D1" w:rsidRDefault="004A433D" w:rsidP="00FE33D1">
            <w:pPr>
              <w:pStyle w:val="Sansinterligne"/>
              <w:jc w:val="center"/>
              <w:rPr>
                <w:sz w:val="36"/>
                <w:szCs w:val="36"/>
                <w:lang w:eastAsia="en-US"/>
              </w:rPr>
            </w:pPr>
            <w:r>
              <w:rPr>
                <w:sz w:val="36"/>
                <w:szCs w:val="36"/>
                <w:lang w:eastAsia="en-US"/>
              </w:rPr>
              <w:t xml:space="preserve"> </w:t>
            </w:r>
            <w:r w:rsidR="0015508A">
              <w:rPr>
                <w:sz w:val="36"/>
                <w:szCs w:val="36"/>
                <w:lang w:eastAsia="en-US"/>
              </w:rPr>
              <w:t>Quelles politiques économiques dans le cadre européen</w:t>
            </w:r>
            <w:r w:rsidR="00FE33D1" w:rsidRPr="00FE33D1">
              <w:rPr>
                <w:sz w:val="36"/>
                <w:szCs w:val="36"/>
                <w:lang w:eastAsia="en-US"/>
              </w:rPr>
              <w:t> ?</w:t>
            </w:r>
          </w:p>
          <w:p w:rsidR="00824F4D" w:rsidRPr="00FE33D1" w:rsidRDefault="00824F4D" w:rsidP="00FE33D1">
            <w:pPr>
              <w:pStyle w:val="Sansinterligne"/>
              <w:jc w:val="center"/>
              <w:rPr>
                <w:sz w:val="36"/>
                <w:szCs w:val="36"/>
                <w:lang w:eastAsia="en-US"/>
              </w:rPr>
            </w:pPr>
            <w:r w:rsidRPr="00FE33D1">
              <w:rPr>
                <w:sz w:val="36"/>
                <w:szCs w:val="36"/>
                <w:lang w:eastAsia="en-US"/>
              </w:rPr>
              <w:t>--</w:t>
            </w:r>
          </w:p>
          <w:p w:rsidR="00824F4D" w:rsidRPr="00FE33D1" w:rsidRDefault="0015508A" w:rsidP="00FE33D1">
            <w:pPr>
              <w:pStyle w:val="Sansinterligne"/>
              <w:jc w:val="center"/>
              <w:rPr>
                <w:sz w:val="36"/>
                <w:szCs w:val="36"/>
                <w:lang w:eastAsia="en-US"/>
              </w:rPr>
            </w:pPr>
            <w:r>
              <w:rPr>
                <w:sz w:val="36"/>
                <w:szCs w:val="36"/>
                <w:lang w:eastAsia="en-US"/>
              </w:rPr>
              <w:t>L’intégration européenne et le marché unique</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Pr="00596EA5" w:rsidRDefault="00F664AE" w:rsidP="003A403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15508A">
        <w:rPr>
          <w:rFonts w:ascii="Calibri Light" w:hAnsi="Calibri Light" w:cs="Calibri Light"/>
          <w:b/>
          <w:color w:val="000000"/>
          <w:sz w:val="28"/>
          <w:szCs w:val="28"/>
        </w:rPr>
        <w:t>Vrai ou faux ?</w:t>
      </w:r>
      <w:r w:rsidR="00C41E81" w:rsidRPr="00596EA5">
        <w:rPr>
          <w:rFonts w:ascii="Calibri Light" w:hAnsi="Calibri Light" w:cs="Calibri Light"/>
          <w:b/>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1137"/>
        <w:gridCol w:w="4762"/>
      </w:tblGrid>
      <w:tr w:rsidR="001C3A4D" w:rsidRPr="001C3A4D" w:rsidTr="001C3A4D">
        <w:tc>
          <w:tcPr>
            <w:tcW w:w="4783" w:type="dxa"/>
            <w:shd w:val="clear" w:color="auto" w:fill="auto"/>
          </w:tcPr>
          <w:p w:rsidR="0015508A" w:rsidRPr="001C3A4D" w:rsidRDefault="0015508A" w:rsidP="003A4034">
            <w:pPr>
              <w:rPr>
                <w:rFonts w:ascii="Calibri Light" w:hAnsi="Calibri Light" w:cs="Calibri Light"/>
                <w:b/>
                <w:color w:val="000000"/>
                <w:sz w:val="24"/>
                <w:szCs w:val="24"/>
              </w:rPr>
            </w:pP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r w:rsidRPr="001C3A4D">
              <w:rPr>
                <w:rFonts w:ascii="Calibri Light" w:hAnsi="Calibri Light" w:cs="Calibri Light"/>
                <w:b/>
                <w:color w:val="000000"/>
                <w:sz w:val="24"/>
                <w:szCs w:val="24"/>
              </w:rPr>
              <w:t>Vrai ou faux ?</w:t>
            </w:r>
          </w:p>
        </w:tc>
        <w:tc>
          <w:tcPr>
            <w:tcW w:w="4762" w:type="dxa"/>
            <w:shd w:val="clear" w:color="auto" w:fill="auto"/>
          </w:tcPr>
          <w:p w:rsidR="0015508A" w:rsidRPr="001C3A4D" w:rsidRDefault="0015508A" w:rsidP="001C3A4D">
            <w:pPr>
              <w:jc w:val="center"/>
              <w:rPr>
                <w:rFonts w:ascii="Calibri Light" w:hAnsi="Calibri Light" w:cs="Calibri Light"/>
                <w:b/>
                <w:color w:val="000000"/>
                <w:sz w:val="24"/>
                <w:szCs w:val="24"/>
              </w:rPr>
            </w:pPr>
            <w:r w:rsidRPr="001C3A4D">
              <w:rPr>
                <w:rFonts w:ascii="Calibri Light" w:hAnsi="Calibri Light" w:cs="Calibri Light"/>
                <w:b/>
                <w:color w:val="000000"/>
                <w:sz w:val="24"/>
                <w:szCs w:val="24"/>
              </w:rPr>
              <w:t>Justification</w:t>
            </w:r>
          </w:p>
        </w:tc>
      </w:tr>
      <w:tr w:rsidR="001C3A4D" w:rsidRPr="001C3A4D" w:rsidTr="001C3A4D">
        <w:tc>
          <w:tcPr>
            <w:tcW w:w="4783" w:type="dxa"/>
            <w:shd w:val="clear" w:color="auto" w:fill="auto"/>
          </w:tcPr>
          <w:p w:rsidR="0015508A" w:rsidRPr="001C3A4D" w:rsidRDefault="0015508A" w:rsidP="003A4034">
            <w:pPr>
              <w:rPr>
                <w:rFonts w:ascii="Calibri Light" w:hAnsi="Calibri Light" w:cs="Calibri Light"/>
                <w:bCs/>
                <w:color w:val="000000"/>
                <w:szCs w:val="20"/>
              </w:rPr>
            </w:pPr>
            <w:r w:rsidRPr="001C3A4D">
              <w:rPr>
                <w:rFonts w:ascii="Calibri Light" w:hAnsi="Calibri Light" w:cs="Calibri Light"/>
                <w:bCs/>
                <w:color w:val="000000"/>
                <w:szCs w:val="20"/>
              </w:rPr>
              <w:t>La signature du traité de Rome en mars 1957 est considérée comme l’acte fondateur de la construction européenne.</w:t>
            </w: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p>
        </w:tc>
        <w:tc>
          <w:tcPr>
            <w:tcW w:w="4762"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1C3A4D">
        <w:tc>
          <w:tcPr>
            <w:tcW w:w="4783" w:type="dxa"/>
            <w:shd w:val="clear" w:color="auto" w:fill="auto"/>
          </w:tcPr>
          <w:p w:rsidR="0015508A" w:rsidRPr="001C3A4D" w:rsidRDefault="0015508A" w:rsidP="003A4034">
            <w:pPr>
              <w:rPr>
                <w:rFonts w:ascii="Calibri Light" w:hAnsi="Calibri Light" w:cs="Calibri Light"/>
                <w:bCs/>
                <w:color w:val="000000"/>
                <w:szCs w:val="20"/>
              </w:rPr>
            </w:pPr>
            <w:r w:rsidRPr="001C3A4D">
              <w:rPr>
                <w:rFonts w:ascii="Calibri Light" w:hAnsi="Calibri Light" w:cs="Calibri Light"/>
                <w:bCs/>
                <w:color w:val="000000"/>
                <w:szCs w:val="20"/>
              </w:rPr>
              <w:t>L’entrée en vigueur du marché unique en 1993 consacre la libre circulation des biens, des services, des travailleurs et des capitaux.</w:t>
            </w: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p>
        </w:tc>
        <w:tc>
          <w:tcPr>
            <w:tcW w:w="4762"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1C3A4D">
        <w:tc>
          <w:tcPr>
            <w:tcW w:w="4783" w:type="dxa"/>
            <w:shd w:val="clear" w:color="auto" w:fill="auto"/>
          </w:tcPr>
          <w:p w:rsidR="0015508A" w:rsidRPr="001C3A4D" w:rsidRDefault="0015508A" w:rsidP="003A4034">
            <w:pPr>
              <w:rPr>
                <w:rFonts w:ascii="Calibri Light" w:hAnsi="Calibri Light" w:cs="Calibri Light"/>
                <w:bCs/>
                <w:color w:val="000000"/>
                <w:szCs w:val="20"/>
              </w:rPr>
            </w:pPr>
            <w:r w:rsidRPr="001C3A4D">
              <w:rPr>
                <w:rFonts w:ascii="Calibri Light" w:hAnsi="Calibri Light" w:cs="Calibri Light"/>
                <w:bCs/>
                <w:color w:val="000000"/>
                <w:szCs w:val="20"/>
              </w:rPr>
              <w:t>La Banque Centrale Européenne (BCE) a été créée en 1999 avec l’instauration de l’Union économique et monétaire.</w:t>
            </w: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p>
        </w:tc>
        <w:tc>
          <w:tcPr>
            <w:tcW w:w="4762"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1C3A4D">
        <w:tc>
          <w:tcPr>
            <w:tcW w:w="4783" w:type="dxa"/>
            <w:shd w:val="clear" w:color="auto" w:fill="auto"/>
          </w:tcPr>
          <w:p w:rsidR="0015508A" w:rsidRPr="001C3A4D" w:rsidRDefault="0015508A" w:rsidP="003A4034">
            <w:pPr>
              <w:rPr>
                <w:rFonts w:ascii="Calibri Light" w:hAnsi="Calibri Light" w:cs="Calibri Light"/>
                <w:bCs/>
                <w:color w:val="000000"/>
                <w:szCs w:val="20"/>
              </w:rPr>
            </w:pPr>
            <w:r w:rsidRPr="001C3A4D">
              <w:rPr>
                <w:rFonts w:ascii="Calibri Light" w:hAnsi="Calibri Light" w:cs="Calibri Light"/>
                <w:bCs/>
                <w:color w:val="000000"/>
                <w:szCs w:val="20"/>
              </w:rPr>
              <w:t>La zone euro compte aujourd’hui 1</w:t>
            </w:r>
            <w:r w:rsidR="00C37707">
              <w:rPr>
                <w:rFonts w:ascii="Calibri Light" w:hAnsi="Calibri Light" w:cs="Calibri Light"/>
                <w:bCs/>
                <w:color w:val="000000"/>
                <w:szCs w:val="20"/>
              </w:rPr>
              <w:t>1</w:t>
            </w:r>
            <w:r w:rsidRPr="001C3A4D">
              <w:rPr>
                <w:rFonts w:ascii="Calibri Light" w:hAnsi="Calibri Light" w:cs="Calibri Light"/>
                <w:bCs/>
                <w:color w:val="000000"/>
                <w:szCs w:val="20"/>
              </w:rPr>
              <w:t xml:space="preserve"> États membres.</w:t>
            </w: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p>
        </w:tc>
        <w:tc>
          <w:tcPr>
            <w:tcW w:w="4762"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1C3A4D">
        <w:tc>
          <w:tcPr>
            <w:tcW w:w="4783" w:type="dxa"/>
            <w:shd w:val="clear" w:color="auto" w:fill="auto"/>
          </w:tcPr>
          <w:p w:rsidR="0015508A" w:rsidRPr="001C3A4D" w:rsidRDefault="0015508A" w:rsidP="003A4034">
            <w:pPr>
              <w:rPr>
                <w:rFonts w:ascii="Calibri Light" w:hAnsi="Calibri Light" w:cs="Calibri Light"/>
                <w:bCs/>
                <w:color w:val="000000"/>
                <w:szCs w:val="20"/>
              </w:rPr>
            </w:pPr>
            <w:r w:rsidRPr="001C3A4D">
              <w:rPr>
                <w:rFonts w:ascii="Calibri Light" w:hAnsi="Calibri Light" w:cs="Calibri Light"/>
                <w:bCs/>
                <w:color w:val="000000"/>
                <w:szCs w:val="20"/>
              </w:rPr>
              <w:t xml:space="preserve">On peut dire que l’intégration </w:t>
            </w:r>
            <w:r w:rsidR="00751914" w:rsidRPr="001C3A4D">
              <w:rPr>
                <w:rFonts w:ascii="Calibri Light" w:hAnsi="Calibri Light" w:cs="Calibri Light"/>
                <w:bCs/>
                <w:color w:val="000000"/>
                <w:szCs w:val="20"/>
              </w:rPr>
              <w:t xml:space="preserve">économique </w:t>
            </w:r>
            <w:r w:rsidRPr="001C3A4D">
              <w:rPr>
                <w:rFonts w:ascii="Calibri Light" w:hAnsi="Calibri Light" w:cs="Calibri Light"/>
                <w:bCs/>
                <w:color w:val="000000"/>
                <w:szCs w:val="20"/>
              </w:rPr>
              <w:t>européenne</w:t>
            </w:r>
            <w:r w:rsidR="00751914" w:rsidRPr="001C3A4D">
              <w:rPr>
                <w:rFonts w:ascii="Calibri Light" w:hAnsi="Calibri Light" w:cs="Calibri Light"/>
                <w:bCs/>
                <w:color w:val="000000"/>
                <w:szCs w:val="20"/>
              </w:rPr>
              <w:t xml:space="preserve"> est un processus par lequel plusieurs économies distinctes forme</w:t>
            </w:r>
            <w:r w:rsidR="00157892">
              <w:rPr>
                <w:rFonts w:ascii="Calibri Light" w:hAnsi="Calibri Light" w:cs="Calibri Light"/>
                <w:bCs/>
                <w:color w:val="000000"/>
                <w:szCs w:val="20"/>
              </w:rPr>
              <w:t>nt</w:t>
            </w:r>
            <w:r w:rsidR="00751914" w:rsidRPr="001C3A4D">
              <w:rPr>
                <w:rFonts w:ascii="Calibri Light" w:hAnsi="Calibri Light" w:cs="Calibri Light"/>
                <w:bCs/>
                <w:color w:val="000000"/>
                <w:szCs w:val="20"/>
              </w:rPr>
              <w:t xml:space="preserve"> un vaste espace unifié.</w:t>
            </w:r>
          </w:p>
        </w:tc>
        <w:tc>
          <w:tcPr>
            <w:tcW w:w="1137" w:type="dxa"/>
            <w:shd w:val="clear" w:color="auto" w:fill="auto"/>
          </w:tcPr>
          <w:p w:rsidR="0015508A" w:rsidRPr="001C3A4D" w:rsidRDefault="0015508A" w:rsidP="003A4034">
            <w:pPr>
              <w:rPr>
                <w:rFonts w:ascii="Calibri Light" w:hAnsi="Calibri Light" w:cs="Calibri Light"/>
                <w:b/>
                <w:color w:val="000000"/>
                <w:sz w:val="24"/>
                <w:szCs w:val="24"/>
              </w:rPr>
            </w:pPr>
          </w:p>
        </w:tc>
        <w:tc>
          <w:tcPr>
            <w:tcW w:w="4762" w:type="dxa"/>
            <w:shd w:val="clear" w:color="auto" w:fill="auto"/>
          </w:tcPr>
          <w:p w:rsidR="0015508A" w:rsidRPr="001C3A4D" w:rsidRDefault="0015508A" w:rsidP="003A4034">
            <w:pPr>
              <w:rPr>
                <w:rFonts w:ascii="Calibri Light" w:hAnsi="Calibri Light" w:cs="Calibri Light"/>
                <w:b/>
                <w:color w:val="000000"/>
                <w:sz w:val="24"/>
                <w:szCs w:val="24"/>
              </w:rPr>
            </w:pPr>
          </w:p>
        </w:tc>
      </w:tr>
      <w:tr w:rsidR="00751914" w:rsidRPr="001C3A4D" w:rsidTr="001C3A4D">
        <w:tc>
          <w:tcPr>
            <w:tcW w:w="4783" w:type="dxa"/>
            <w:shd w:val="clear" w:color="auto" w:fill="auto"/>
          </w:tcPr>
          <w:p w:rsidR="00751914" w:rsidRPr="001C3A4D" w:rsidRDefault="00751914" w:rsidP="003A4034">
            <w:pPr>
              <w:rPr>
                <w:rFonts w:ascii="Calibri Light" w:hAnsi="Calibri Light" w:cs="Calibri Light"/>
                <w:bCs/>
                <w:color w:val="000000"/>
                <w:szCs w:val="20"/>
              </w:rPr>
            </w:pPr>
            <w:r w:rsidRPr="001C3A4D">
              <w:rPr>
                <w:rFonts w:ascii="Calibri Light" w:hAnsi="Calibri Light" w:cs="Calibri Light"/>
                <w:bCs/>
                <w:color w:val="000000"/>
                <w:szCs w:val="20"/>
              </w:rPr>
              <w:t>L’intégration économique se double d’une intégration politique qui se traduit par des transferts de souveraineté.</w:t>
            </w:r>
          </w:p>
        </w:tc>
        <w:tc>
          <w:tcPr>
            <w:tcW w:w="1137" w:type="dxa"/>
            <w:shd w:val="clear" w:color="auto" w:fill="auto"/>
          </w:tcPr>
          <w:p w:rsidR="00751914" w:rsidRPr="001C3A4D" w:rsidRDefault="00751914" w:rsidP="003A4034">
            <w:pPr>
              <w:rPr>
                <w:rFonts w:ascii="Calibri Light" w:hAnsi="Calibri Light" w:cs="Calibri Light"/>
                <w:b/>
                <w:color w:val="000000"/>
                <w:sz w:val="24"/>
                <w:szCs w:val="24"/>
              </w:rPr>
            </w:pPr>
          </w:p>
        </w:tc>
        <w:tc>
          <w:tcPr>
            <w:tcW w:w="4762" w:type="dxa"/>
            <w:shd w:val="clear" w:color="auto" w:fill="auto"/>
          </w:tcPr>
          <w:p w:rsidR="00751914" w:rsidRPr="001C3A4D" w:rsidRDefault="00751914" w:rsidP="003A4034">
            <w:pPr>
              <w:rPr>
                <w:rFonts w:ascii="Calibri Light" w:hAnsi="Calibri Light" w:cs="Calibri Light"/>
                <w:b/>
                <w:color w:val="000000"/>
                <w:sz w:val="24"/>
                <w:szCs w:val="24"/>
              </w:rPr>
            </w:pPr>
          </w:p>
        </w:tc>
      </w:tr>
    </w:tbl>
    <w:p w:rsidR="00751914" w:rsidRDefault="00751914" w:rsidP="00751914">
      <w:pPr>
        <w:rPr>
          <w:rFonts w:ascii="Calibri Light" w:hAnsi="Calibri Light" w:cs="Calibri Light"/>
          <w:b/>
          <w:color w:val="000000"/>
          <w:sz w:val="28"/>
          <w:szCs w:val="28"/>
        </w:rPr>
      </w:pPr>
    </w:p>
    <w:p w:rsidR="00751914" w:rsidRDefault="00751914" w:rsidP="0075191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Pr>
          <w:rFonts w:ascii="Calibri Light" w:hAnsi="Calibri Light" w:cs="Calibri Light"/>
          <w:b/>
          <w:color w:val="000000"/>
          <w:sz w:val="28"/>
          <w:szCs w:val="28"/>
        </w:rPr>
        <w:t>Associer les bons éléments :</w:t>
      </w:r>
    </w:p>
    <w:tbl>
      <w:tblPr>
        <w:tblW w:w="0" w:type="auto"/>
        <w:tblLook w:val="04A0"/>
      </w:tblPr>
      <w:tblGrid>
        <w:gridCol w:w="4361"/>
        <w:gridCol w:w="2709"/>
        <w:gridCol w:w="3536"/>
      </w:tblGrid>
      <w:tr w:rsidR="001C3A4D" w:rsidRPr="001C3A4D" w:rsidTr="00C37707">
        <w:tc>
          <w:tcPr>
            <w:tcW w:w="4361" w:type="dxa"/>
            <w:shd w:val="clear" w:color="auto" w:fill="auto"/>
          </w:tcPr>
          <w:p w:rsidR="00751914" w:rsidRPr="001C3A4D" w:rsidRDefault="00751914" w:rsidP="001C3A4D">
            <w:pPr>
              <w:jc w:val="right"/>
              <w:rPr>
                <w:rFonts w:ascii="Calibri Light" w:hAnsi="Calibri Light" w:cs="Calibri Light"/>
                <w:bCs/>
                <w:color w:val="000000"/>
                <w:sz w:val="22"/>
              </w:rPr>
            </w:pPr>
            <w:r w:rsidRPr="001C3A4D">
              <w:rPr>
                <w:rFonts w:ascii="Calibri Light" w:hAnsi="Calibri Light" w:cs="Calibri Light"/>
                <w:bCs/>
                <w:color w:val="000000"/>
                <w:sz w:val="22"/>
              </w:rPr>
              <w:t>Union douanière ●</w:t>
            </w:r>
          </w:p>
        </w:tc>
        <w:tc>
          <w:tcPr>
            <w:tcW w:w="2709" w:type="dxa"/>
            <w:shd w:val="clear" w:color="auto" w:fill="auto"/>
          </w:tcPr>
          <w:p w:rsidR="00751914" w:rsidRPr="001C3A4D" w:rsidRDefault="00751914" w:rsidP="00751914">
            <w:pPr>
              <w:rPr>
                <w:rFonts w:ascii="Calibri Light" w:hAnsi="Calibri Light" w:cs="Calibri Light"/>
                <w:b/>
                <w:color w:val="000000"/>
                <w:sz w:val="22"/>
              </w:rPr>
            </w:pPr>
          </w:p>
        </w:tc>
        <w:tc>
          <w:tcPr>
            <w:tcW w:w="3536" w:type="dxa"/>
            <w:shd w:val="clear" w:color="auto" w:fill="auto"/>
          </w:tcPr>
          <w:p w:rsidR="00751914" w:rsidRPr="001C3A4D" w:rsidRDefault="00751914" w:rsidP="00751914">
            <w:pPr>
              <w:rPr>
                <w:rFonts w:ascii="Calibri Light" w:hAnsi="Calibri Light" w:cs="Calibri Light"/>
                <w:bCs/>
                <w:color w:val="000000"/>
                <w:sz w:val="22"/>
              </w:rPr>
            </w:pPr>
            <w:r w:rsidRPr="001C3A4D">
              <w:rPr>
                <w:rFonts w:ascii="Calibri Light" w:hAnsi="Calibri Light" w:cs="Calibri Light"/>
                <w:bCs/>
                <w:color w:val="000000"/>
                <w:sz w:val="22"/>
              </w:rPr>
              <w:t>● Marché unique (1993)</w:t>
            </w:r>
          </w:p>
        </w:tc>
      </w:tr>
      <w:tr w:rsidR="001C3A4D" w:rsidRPr="001C3A4D" w:rsidTr="00C37707">
        <w:tc>
          <w:tcPr>
            <w:tcW w:w="4361" w:type="dxa"/>
            <w:shd w:val="clear" w:color="auto" w:fill="auto"/>
          </w:tcPr>
          <w:p w:rsidR="00751914" w:rsidRPr="001C3A4D" w:rsidRDefault="00751914" w:rsidP="001C3A4D">
            <w:pPr>
              <w:jc w:val="right"/>
              <w:rPr>
                <w:rFonts w:ascii="Calibri Light" w:hAnsi="Calibri Light" w:cs="Calibri Light"/>
                <w:bCs/>
                <w:color w:val="000000"/>
                <w:sz w:val="22"/>
              </w:rPr>
            </w:pPr>
            <w:r w:rsidRPr="001C3A4D">
              <w:rPr>
                <w:rFonts w:ascii="Calibri Light" w:hAnsi="Calibri Light" w:cs="Calibri Light"/>
                <w:bCs/>
                <w:color w:val="000000"/>
                <w:sz w:val="22"/>
              </w:rPr>
              <w:t>Marché commun ●</w:t>
            </w:r>
          </w:p>
        </w:tc>
        <w:tc>
          <w:tcPr>
            <w:tcW w:w="2709" w:type="dxa"/>
            <w:shd w:val="clear" w:color="auto" w:fill="auto"/>
          </w:tcPr>
          <w:p w:rsidR="00751914" w:rsidRPr="001C3A4D" w:rsidRDefault="00751914" w:rsidP="00751914">
            <w:pPr>
              <w:rPr>
                <w:rFonts w:ascii="Calibri Light" w:hAnsi="Calibri Light" w:cs="Calibri Light"/>
                <w:b/>
                <w:color w:val="000000"/>
                <w:sz w:val="22"/>
              </w:rPr>
            </w:pPr>
          </w:p>
        </w:tc>
        <w:tc>
          <w:tcPr>
            <w:tcW w:w="3536" w:type="dxa"/>
            <w:shd w:val="clear" w:color="auto" w:fill="auto"/>
          </w:tcPr>
          <w:p w:rsidR="00751914" w:rsidRPr="001C3A4D" w:rsidRDefault="00751914" w:rsidP="00751914">
            <w:pPr>
              <w:rPr>
                <w:rFonts w:ascii="Calibri Light" w:hAnsi="Calibri Light" w:cs="Calibri Light"/>
                <w:bCs/>
                <w:color w:val="000000"/>
                <w:sz w:val="22"/>
              </w:rPr>
            </w:pPr>
            <w:r w:rsidRPr="001C3A4D">
              <w:rPr>
                <w:rFonts w:ascii="Calibri Light" w:hAnsi="Calibri Light" w:cs="Calibri Light"/>
                <w:bCs/>
                <w:color w:val="000000"/>
                <w:sz w:val="22"/>
              </w:rPr>
              <w:t>● Monnaie unique (1999)</w:t>
            </w:r>
          </w:p>
        </w:tc>
      </w:tr>
      <w:tr w:rsidR="001C3A4D" w:rsidRPr="001C3A4D" w:rsidTr="00C37707">
        <w:tc>
          <w:tcPr>
            <w:tcW w:w="4361" w:type="dxa"/>
            <w:shd w:val="clear" w:color="auto" w:fill="auto"/>
          </w:tcPr>
          <w:p w:rsidR="00751914" w:rsidRPr="001C3A4D" w:rsidRDefault="00751914" w:rsidP="001C3A4D">
            <w:pPr>
              <w:jc w:val="right"/>
              <w:rPr>
                <w:rFonts w:ascii="Calibri Light" w:hAnsi="Calibri Light" w:cs="Calibri Light"/>
                <w:bCs/>
                <w:color w:val="000000"/>
                <w:sz w:val="22"/>
              </w:rPr>
            </w:pPr>
            <w:r w:rsidRPr="001C3A4D">
              <w:rPr>
                <w:rFonts w:ascii="Calibri Light" w:hAnsi="Calibri Light" w:cs="Calibri Light"/>
                <w:bCs/>
                <w:color w:val="000000"/>
                <w:sz w:val="22"/>
              </w:rPr>
              <w:t>Union économique ●</w:t>
            </w:r>
          </w:p>
        </w:tc>
        <w:tc>
          <w:tcPr>
            <w:tcW w:w="2709" w:type="dxa"/>
            <w:shd w:val="clear" w:color="auto" w:fill="auto"/>
          </w:tcPr>
          <w:p w:rsidR="00751914" w:rsidRPr="001C3A4D" w:rsidRDefault="00751914" w:rsidP="00751914">
            <w:pPr>
              <w:rPr>
                <w:rFonts w:ascii="Calibri Light" w:hAnsi="Calibri Light" w:cs="Calibri Light"/>
                <w:b/>
                <w:color w:val="000000"/>
                <w:sz w:val="22"/>
              </w:rPr>
            </w:pPr>
          </w:p>
        </w:tc>
        <w:tc>
          <w:tcPr>
            <w:tcW w:w="3536" w:type="dxa"/>
            <w:shd w:val="clear" w:color="auto" w:fill="auto"/>
          </w:tcPr>
          <w:p w:rsidR="00751914" w:rsidRPr="001C3A4D" w:rsidRDefault="00751914" w:rsidP="00751914">
            <w:pPr>
              <w:rPr>
                <w:rFonts w:ascii="Calibri Light" w:hAnsi="Calibri Light" w:cs="Calibri Light"/>
                <w:bCs/>
                <w:color w:val="000000"/>
                <w:sz w:val="22"/>
              </w:rPr>
            </w:pPr>
            <w:r w:rsidRPr="001C3A4D">
              <w:rPr>
                <w:rFonts w:ascii="Calibri Light" w:hAnsi="Calibri Light" w:cs="Calibri Light"/>
                <w:bCs/>
                <w:color w:val="000000"/>
                <w:sz w:val="22"/>
              </w:rPr>
              <w:t>● Union douanière (1968)</w:t>
            </w:r>
          </w:p>
        </w:tc>
      </w:tr>
      <w:tr w:rsidR="001C3A4D" w:rsidRPr="001C3A4D" w:rsidTr="00C37707">
        <w:tc>
          <w:tcPr>
            <w:tcW w:w="4361" w:type="dxa"/>
            <w:shd w:val="clear" w:color="auto" w:fill="auto"/>
          </w:tcPr>
          <w:p w:rsidR="00751914" w:rsidRPr="001C3A4D" w:rsidRDefault="00751914" w:rsidP="001C3A4D">
            <w:pPr>
              <w:jc w:val="right"/>
              <w:rPr>
                <w:rFonts w:ascii="Calibri Light" w:hAnsi="Calibri Light" w:cs="Calibri Light"/>
                <w:bCs/>
                <w:color w:val="000000"/>
                <w:sz w:val="22"/>
              </w:rPr>
            </w:pPr>
            <w:r w:rsidRPr="001C3A4D">
              <w:rPr>
                <w:rFonts w:ascii="Calibri Light" w:hAnsi="Calibri Light" w:cs="Calibri Light"/>
                <w:bCs/>
                <w:color w:val="000000"/>
                <w:sz w:val="22"/>
              </w:rPr>
              <w:t>Union économique et monétaire ●</w:t>
            </w:r>
          </w:p>
        </w:tc>
        <w:tc>
          <w:tcPr>
            <w:tcW w:w="2709" w:type="dxa"/>
            <w:shd w:val="clear" w:color="auto" w:fill="auto"/>
          </w:tcPr>
          <w:p w:rsidR="00751914" w:rsidRPr="001C3A4D" w:rsidRDefault="00751914" w:rsidP="00751914">
            <w:pPr>
              <w:rPr>
                <w:rFonts w:ascii="Calibri Light" w:hAnsi="Calibri Light" w:cs="Calibri Light"/>
                <w:b/>
                <w:color w:val="000000"/>
                <w:sz w:val="22"/>
              </w:rPr>
            </w:pPr>
          </w:p>
        </w:tc>
        <w:tc>
          <w:tcPr>
            <w:tcW w:w="3536" w:type="dxa"/>
            <w:shd w:val="clear" w:color="auto" w:fill="auto"/>
          </w:tcPr>
          <w:p w:rsidR="00751914" w:rsidRPr="001C3A4D" w:rsidRDefault="00751914" w:rsidP="00751914">
            <w:pPr>
              <w:rPr>
                <w:rFonts w:ascii="Calibri Light" w:hAnsi="Calibri Light" w:cs="Calibri Light"/>
                <w:bCs/>
                <w:color w:val="000000"/>
                <w:sz w:val="22"/>
              </w:rPr>
            </w:pPr>
            <w:r w:rsidRPr="001C3A4D">
              <w:rPr>
                <w:rFonts w:ascii="Calibri Light" w:hAnsi="Calibri Light" w:cs="Calibri Light"/>
                <w:bCs/>
                <w:color w:val="000000"/>
                <w:sz w:val="22"/>
              </w:rPr>
              <w:t>● PAC et politique de la concurrence</w:t>
            </w:r>
          </w:p>
        </w:tc>
      </w:tr>
    </w:tbl>
    <w:p w:rsidR="00751914" w:rsidRDefault="00751914" w:rsidP="00751914">
      <w:pPr>
        <w:rPr>
          <w:rFonts w:ascii="Calibri Light" w:hAnsi="Calibri Light" w:cs="Calibri Light"/>
          <w:b/>
          <w:color w:val="000000"/>
          <w:sz w:val="28"/>
          <w:szCs w:val="28"/>
        </w:rPr>
      </w:pPr>
      <w:r w:rsidRPr="00596EA5">
        <w:rPr>
          <w:rFonts w:ascii="Calibri Light" w:hAnsi="Calibri Light" w:cs="Calibri Light"/>
          <w:b/>
          <w:color w:val="000000"/>
          <w:sz w:val="28"/>
          <w:szCs w:val="28"/>
        </w:rPr>
        <w:t> </w:t>
      </w:r>
    </w:p>
    <w:p w:rsidR="00751914" w:rsidRDefault="00751914" w:rsidP="00751914">
      <w:pPr>
        <w:rPr>
          <w:rFonts w:ascii="Calibri Light" w:hAnsi="Calibri Light" w:cs="Calibri Light"/>
          <w:b/>
          <w:color w:val="000000"/>
          <w:sz w:val="28"/>
          <w:szCs w:val="28"/>
        </w:rPr>
      </w:pPr>
    </w:p>
    <w:p w:rsidR="00751914" w:rsidRDefault="00751914" w:rsidP="00751914">
      <w:pPr>
        <w:rPr>
          <w:rFonts w:ascii="Calibri Light" w:hAnsi="Calibri Light" w:cs="Calibri Light"/>
          <w:b/>
          <w:color w:val="000000"/>
          <w:sz w:val="28"/>
          <w:szCs w:val="28"/>
        </w:rPr>
      </w:pPr>
      <w:r w:rsidRPr="00596EA5">
        <w:rPr>
          <w:rFonts w:ascii="Calibri Light" w:hAnsi="Calibri Light" w:cs="Calibri Light"/>
          <w:b/>
          <w:color w:val="000000"/>
          <w:sz w:val="28"/>
          <w:szCs w:val="28"/>
        </w:rPr>
        <w:lastRenderedPageBreak/>
        <w:t xml:space="preserve">Exercice </w:t>
      </w:r>
      <w:r>
        <w:rPr>
          <w:rFonts w:ascii="Calibri Light" w:hAnsi="Calibri Light" w:cs="Calibri Light"/>
          <w:b/>
          <w:color w:val="000000"/>
          <w:sz w:val="28"/>
          <w:szCs w:val="28"/>
        </w:rPr>
        <w:t>3</w:t>
      </w:r>
      <w:r w:rsidRPr="00596EA5">
        <w:rPr>
          <w:rFonts w:ascii="Calibri Light" w:hAnsi="Calibri Light" w:cs="Calibri Light"/>
          <w:b/>
          <w:color w:val="000000"/>
          <w:sz w:val="28"/>
          <w:szCs w:val="28"/>
        </w:rPr>
        <w:t xml:space="preserve"> : </w:t>
      </w:r>
      <w:r>
        <w:rPr>
          <w:rFonts w:ascii="Calibri Light" w:hAnsi="Calibri Light" w:cs="Calibri Light"/>
          <w:b/>
          <w:color w:val="000000"/>
          <w:sz w:val="28"/>
          <w:szCs w:val="28"/>
        </w:rPr>
        <w:t>Les effets du marché unique sur la croissance</w:t>
      </w:r>
    </w:p>
    <w:p w:rsidR="0056010B" w:rsidRPr="0056010B" w:rsidRDefault="00751914" w:rsidP="00751914">
      <w:pPr>
        <w:rPr>
          <w:rFonts w:ascii="Calibri Light" w:hAnsi="Calibri Light" w:cs="Calibri Light"/>
          <w:bCs/>
          <w:color w:val="000000"/>
          <w:sz w:val="24"/>
          <w:szCs w:val="24"/>
        </w:rPr>
      </w:pPr>
      <w:r w:rsidRPr="0056010B">
        <w:rPr>
          <w:rFonts w:ascii="Calibri Light" w:hAnsi="Calibri Light" w:cs="Calibri Light"/>
          <w:bCs/>
          <w:color w:val="000000"/>
          <w:sz w:val="24"/>
          <w:szCs w:val="24"/>
        </w:rPr>
        <w:t xml:space="preserve">Compléter le schéma </w:t>
      </w:r>
      <w:r w:rsidR="0056010B" w:rsidRPr="0056010B">
        <w:rPr>
          <w:rFonts w:ascii="Calibri Light" w:hAnsi="Calibri Light" w:cs="Calibri Light"/>
          <w:bCs/>
          <w:color w:val="000000"/>
          <w:sz w:val="24"/>
          <w:szCs w:val="24"/>
        </w:rPr>
        <w:t>avec les termes suivants : croissance économique</w:t>
      </w:r>
      <w:r w:rsidR="0056010B">
        <w:rPr>
          <w:rFonts w:ascii="Calibri Light" w:hAnsi="Calibri Light" w:cs="Calibri Light"/>
          <w:bCs/>
          <w:color w:val="000000"/>
          <w:sz w:val="24"/>
          <w:szCs w:val="24"/>
        </w:rPr>
        <w:t xml:space="preserve">, </w:t>
      </w:r>
      <w:r w:rsidR="0056010B" w:rsidRPr="0056010B">
        <w:rPr>
          <w:rFonts w:ascii="Calibri Light" w:hAnsi="Calibri Light" w:cs="Calibri Light"/>
          <w:bCs/>
          <w:color w:val="000000"/>
          <w:sz w:val="24"/>
          <w:szCs w:val="24"/>
        </w:rPr>
        <w:t>compétitivité-prix, plus de diversité, augmentation de la demande, compétitivité hors-prix, baisse des prix</w:t>
      </w:r>
      <w:r w:rsidR="0056010B">
        <w:rPr>
          <w:rFonts w:ascii="Calibri Light" w:hAnsi="Calibri Light" w:cs="Calibri Light"/>
          <w:bCs/>
          <w:color w:val="000000"/>
          <w:sz w:val="24"/>
          <w:szCs w:val="24"/>
        </w:rPr>
        <w:t xml:space="preserve">, </w:t>
      </w:r>
      <w:r w:rsidR="00991F49">
        <w:rPr>
          <w:rFonts w:ascii="Calibri Light" w:hAnsi="Calibri Light" w:cs="Calibri Light"/>
          <w:bCs/>
          <w:color w:val="000000"/>
          <w:sz w:val="24"/>
          <w:szCs w:val="24"/>
        </w:rPr>
        <w:t xml:space="preserve">spécialisation, </w:t>
      </w:r>
      <w:r w:rsidR="0056010B" w:rsidRPr="0056010B">
        <w:rPr>
          <w:rFonts w:ascii="Calibri Light" w:hAnsi="Calibri Light" w:cs="Calibri Light"/>
          <w:bCs/>
          <w:color w:val="000000"/>
          <w:sz w:val="24"/>
          <w:szCs w:val="24"/>
        </w:rPr>
        <w:t>augmentation de l’offre</w:t>
      </w:r>
      <w:r w:rsidR="0056010B">
        <w:rPr>
          <w:rFonts w:ascii="Calibri Light" w:hAnsi="Calibri Light" w:cs="Calibri Light"/>
          <w:bCs/>
          <w:color w:val="000000"/>
          <w:sz w:val="24"/>
          <w:szCs w:val="24"/>
        </w:rPr>
        <w:t>.</w:t>
      </w:r>
    </w:p>
    <w:p w:rsidR="00751914" w:rsidRDefault="00C37707" w:rsidP="00751914">
      <w:pPr>
        <w:rPr>
          <w:noProof/>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396.75pt;margin-top:98.05pt;width:87pt;height:51pt;rotation:90;flip:x;z-index:251654656" o:connectortype="elbow" adj="186,87353,-111910" strokeweight="2.25pt">
            <v:stroke endarrow="block"/>
          </v:shape>
        </w:pict>
      </w:r>
      <w:r>
        <w:rPr>
          <w:noProof/>
        </w:rPr>
        <w:pict>
          <v:rect id="_x0000_s1037" style="position:absolute;left:0;text-align:left;margin-left:411pt;margin-top:167.8pt;width:108.75pt;height:49.5pt;z-index:251653632"/>
        </w:pict>
      </w:r>
      <w:r>
        <w:rPr>
          <w:noProof/>
        </w:rPr>
        <w:pict>
          <v:rect id="_x0000_s1044" style="position:absolute;left:0;text-align:left;margin-left:338.25pt;margin-top:68.05pt;width:86.25pt;height:29.25pt;z-index:251660800"/>
        </w:pict>
      </w:r>
      <w:r>
        <w:rPr>
          <w:noProof/>
        </w:rPr>
        <w:pict>
          <v:rect id="_x0000_s1043" style="position:absolute;left:0;text-align:left;margin-left:225pt;margin-top:95.05pt;width:95.25pt;height:39.75pt;z-index:251659776"/>
        </w:pict>
      </w:r>
      <w:r>
        <w:rPr>
          <w:noProof/>
        </w:rPr>
        <w:pict>
          <v:rect id="_x0000_s1040" style="position:absolute;left:0;text-align:left;margin-left:225pt;margin-top:23.05pt;width:96.75pt;height:40.5pt;z-index:251656704"/>
        </w:pict>
      </w:r>
      <w:r w:rsidR="00065449">
        <w:rPr>
          <w:noProof/>
          <w:lang w:eastAsia="fr-FR"/>
        </w:rPr>
        <w:drawing>
          <wp:inline distT="0" distB="0" distL="0" distR="0">
            <wp:extent cx="5267325" cy="24098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5267325" cy="2409825"/>
                    </a:xfrm>
                    <a:prstGeom prst="rect">
                      <a:avLst/>
                    </a:prstGeom>
                    <a:noFill/>
                    <a:ln w="9525">
                      <a:noFill/>
                      <a:miter lim="800000"/>
                      <a:headEnd/>
                      <a:tailEnd/>
                    </a:ln>
                  </pic:spPr>
                </pic:pic>
              </a:graphicData>
            </a:graphic>
          </wp:inline>
        </w:drawing>
      </w:r>
    </w:p>
    <w:p w:rsidR="00AF22ED" w:rsidRDefault="00C37707" w:rsidP="00751914">
      <w:pPr>
        <w:rPr>
          <w:noProof/>
        </w:rPr>
      </w:pPr>
      <w:r>
        <w:rPr>
          <w:noProof/>
        </w:rPr>
        <w:pict>
          <v:shape id="_x0000_s1039" type="#_x0000_t34" style="position:absolute;left:0;text-align:left;margin-left:393.75pt;margin-top:38.1pt;width:92.25pt;height:50.25pt;rotation:270;z-index:251655680" o:connectortype="elbow" adj="409,-187952,-105541" strokeweight="2.25pt">
            <v:stroke endarrow="block"/>
          </v:shape>
        </w:pict>
      </w:r>
    </w:p>
    <w:p w:rsidR="0015508A" w:rsidRPr="00BB7FAF" w:rsidRDefault="00C37707" w:rsidP="003A4034">
      <w:pPr>
        <w:rPr>
          <w:rFonts w:ascii="Calibri Light" w:hAnsi="Calibri Light" w:cs="Calibri Light"/>
          <w:b/>
          <w:color w:val="000000"/>
          <w:sz w:val="28"/>
          <w:szCs w:val="28"/>
        </w:rPr>
      </w:pPr>
      <w:r>
        <w:rPr>
          <w:noProof/>
        </w:rPr>
        <w:pict>
          <v:rect id="_x0000_s1046" style="position:absolute;left:0;text-align:left;margin-left:209.25pt;margin-top:10.3pt;width:88.5pt;height:36.75pt;z-index:251662848"/>
        </w:pict>
      </w:r>
      <w:r>
        <w:rPr>
          <w:noProof/>
        </w:rPr>
        <w:pict>
          <v:rect id="_x0000_s1045" style="position:absolute;left:0;text-align:left;margin-left:93.75pt;margin-top:86.8pt;width:80.25pt;height:39pt;z-index:251661824"/>
        </w:pict>
      </w:r>
      <w:r>
        <w:rPr>
          <w:noProof/>
        </w:rPr>
        <w:pict>
          <v:rect id="_x0000_s1042" style="position:absolute;left:0;text-align:left;margin-left:319.5pt;margin-top:73.3pt;width:95.25pt;height:38.25pt;z-index:251658752"/>
        </w:pict>
      </w:r>
      <w:r>
        <w:rPr>
          <w:noProof/>
        </w:rPr>
        <w:pict>
          <v:rect id="_x0000_s1041" style="position:absolute;left:0;text-align:left;margin-left:209.25pt;margin-top:131.8pt;width:80.25pt;height:33.75pt;z-index:251657728"/>
        </w:pict>
      </w:r>
      <w:r w:rsidR="00065449">
        <w:rPr>
          <w:noProof/>
          <w:lang w:eastAsia="fr-FR"/>
        </w:rPr>
        <w:drawing>
          <wp:inline distT="0" distB="0" distL="0" distR="0">
            <wp:extent cx="5305425" cy="231457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5305425" cy="2314575"/>
                    </a:xfrm>
                    <a:prstGeom prst="rect">
                      <a:avLst/>
                    </a:prstGeom>
                    <a:noFill/>
                    <a:ln w="9525">
                      <a:noFill/>
                      <a:miter lim="800000"/>
                      <a:headEnd/>
                      <a:tailEnd/>
                    </a:ln>
                  </pic:spPr>
                </pic:pic>
              </a:graphicData>
            </a:graphic>
          </wp:inline>
        </w:drawing>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2 : travail sur documents</w:t>
      </w:r>
    </w:p>
    <w:p w:rsidR="00CD0C32" w:rsidRDefault="000071D9" w:rsidP="00BB7FAF">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CD0C32" w:rsidRDefault="00CD0C32" w:rsidP="00294AD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1 : </w:t>
      </w:r>
      <w:r w:rsidR="00C37707">
        <w:rPr>
          <w:rFonts w:ascii="Calibri Light" w:hAnsi="Calibri Light" w:cs="Calibri Light"/>
          <w:b/>
          <w:color w:val="000000"/>
          <w:sz w:val="28"/>
          <w:szCs w:val="28"/>
        </w:rPr>
        <w:t>Les avantages théoriques de l’intégration économique</w:t>
      </w:r>
    </w:p>
    <w:p w:rsidR="00CD0C32" w:rsidRPr="001C3A4D" w:rsidRDefault="00D17D28" w:rsidP="00294ADA">
      <w:pPr>
        <w:rPr>
          <w:rFonts w:ascii="Calibri Light" w:hAnsi="Calibri Light" w:cs="Calibri Light"/>
          <w:bCs/>
          <w:color w:val="000000"/>
          <w:sz w:val="24"/>
          <w:szCs w:val="24"/>
        </w:rPr>
      </w:pPr>
      <w:r w:rsidRPr="001C3A4D">
        <w:rPr>
          <w:rFonts w:ascii="Calibri Light" w:hAnsi="Calibri Light" w:cs="Calibri Light"/>
          <w:bCs/>
          <w:color w:val="000000"/>
          <w:sz w:val="24"/>
          <w:szCs w:val="24"/>
        </w:rPr>
        <w:t xml:space="preserve">Selon la théorie économique, une intégration plus poussée des marchés aurait des avantages importants en termes de productivité et de bien-être des consommateurs. Premièrement, elle permettrait de bénéficier à plein des avantages comparatifs, chaque économie se spécialisant dans les biens qu’elle est la mieux à même de produire et les activités de fabrication étant réparties efficacement dans l’ensemble de l’Union européenne. Deuxièmement, un marché unique plus intégré accentuerait </w:t>
      </w:r>
      <w:r w:rsidRPr="00372ECB">
        <w:rPr>
          <w:rFonts w:ascii="Calibri Light" w:hAnsi="Calibri Light" w:cs="Calibri Light"/>
          <w:bCs/>
          <w:color w:val="000000"/>
          <w:sz w:val="24"/>
          <w:szCs w:val="24"/>
          <w:u w:val="single"/>
        </w:rPr>
        <w:t>la concurrence entre les entreprises des différents pays, ce qui exercerait des pressions à la baisse sur les marges, et inciterait les entreprises à améliorer la qualité de leurs produits et à investir dans l’innovation.</w:t>
      </w:r>
      <w:r w:rsidRPr="001C3A4D">
        <w:rPr>
          <w:rFonts w:ascii="Calibri Light" w:hAnsi="Calibri Light" w:cs="Calibri Light"/>
          <w:bCs/>
          <w:color w:val="000000"/>
          <w:sz w:val="24"/>
          <w:szCs w:val="24"/>
        </w:rPr>
        <w:t xml:space="preserve"> Troisièmement, les consommateurs disposeraient d’un plus grand choix de biens, offerts à un moindre prix</w:t>
      </w:r>
      <w:r w:rsidR="001C3A4D" w:rsidRPr="001C3A4D">
        <w:rPr>
          <w:rFonts w:ascii="Calibri Light" w:hAnsi="Calibri Light" w:cs="Calibri Light"/>
          <w:bCs/>
          <w:color w:val="000000"/>
          <w:sz w:val="24"/>
          <w:szCs w:val="24"/>
        </w:rPr>
        <w:t>. Quatrièmement, en abaissant les coûts de production et en encourageant les entreprises à être plus efficientes [à optimiser les moyens disponibles], un marché intégré rendrait les produits européens plus compétitifs sur les marchés mondiaux.</w:t>
      </w:r>
    </w:p>
    <w:p w:rsidR="001C3A4D" w:rsidRPr="001C3A4D" w:rsidRDefault="001C3A4D" w:rsidP="001C3A4D">
      <w:pPr>
        <w:jc w:val="right"/>
        <w:rPr>
          <w:rFonts w:ascii="Calibri Light" w:hAnsi="Calibri Light" w:cs="Calibri Light"/>
          <w:bCs/>
          <w:color w:val="000000"/>
          <w:sz w:val="24"/>
          <w:szCs w:val="24"/>
        </w:rPr>
      </w:pPr>
      <w:r w:rsidRPr="001C3A4D">
        <w:rPr>
          <w:rFonts w:ascii="Calibri Light" w:hAnsi="Calibri Light" w:cs="Calibri Light"/>
          <w:bCs/>
          <w:color w:val="000000"/>
          <w:sz w:val="24"/>
          <w:szCs w:val="24"/>
        </w:rPr>
        <w:lastRenderedPageBreak/>
        <w:t xml:space="preserve">OCDE, </w:t>
      </w:r>
      <w:r w:rsidRPr="001C3A4D">
        <w:rPr>
          <w:rFonts w:ascii="Calibri Light" w:hAnsi="Calibri Light" w:cs="Calibri Light"/>
          <w:bCs/>
          <w:i/>
          <w:iCs/>
          <w:color w:val="000000"/>
          <w:sz w:val="24"/>
          <w:szCs w:val="24"/>
        </w:rPr>
        <w:t>Etudes économiques de l’OCDE : Union européenne 2012</w:t>
      </w:r>
      <w:r w:rsidRPr="001C3A4D">
        <w:rPr>
          <w:rFonts w:ascii="Calibri Light" w:hAnsi="Calibri Light" w:cs="Calibri Light"/>
          <w:bCs/>
          <w:color w:val="000000"/>
          <w:sz w:val="24"/>
          <w:szCs w:val="24"/>
        </w:rPr>
        <w:t>, OCDE, 2012</w:t>
      </w:r>
    </w:p>
    <w:p w:rsidR="00CD0C32" w:rsidRDefault="001C3A4D" w:rsidP="001C3A4D">
      <w:pPr>
        <w:numPr>
          <w:ilvl w:val="0"/>
          <w:numId w:val="18"/>
        </w:numPr>
        <w:spacing w:after="0" w:line="240" w:lineRule="auto"/>
        <w:ind w:left="714" w:hanging="357"/>
        <w:rPr>
          <w:rFonts w:ascii="Calibri Light" w:hAnsi="Calibri Light" w:cs="Calibri Light"/>
          <w:bCs/>
          <w:color w:val="000000"/>
          <w:sz w:val="24"/>
          <w:szCs w:val="24"/>
        </w:rPr>
      </w:pPr>
      <w:r w:rsidRPr="001C3A4D">
        <w:rPr>
          <w:rFonts w:ascii="Calibri Light" w:hAnsi="Calibri Light" w:cs="Calibri Light"/>
          <w:bCs/>
          <w:color w:val="000000"/>
          <w:sz w:val="24"/>
          <w:szCs w:val="24"/>
        </w:rPr>
        <w:t>Rappelez ce qu’est la théorie des avantages comparatifs.</w:t>
      </w:r>
    </w:p>
    <w:p w:rsidR="00372ECB" w:rsidRPr="001C3A4D" w:rsidRDefault="00372ECB" w:rsidP="001C3A4D">
      <w:pPr>
        <w:numPr>
          <w:ilvl w:val="0"/>
          <w:numId w:val="18"/>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Expliquez le passage souligné.</w:t>
      </w:r>
    </w:p>
    <w:p w:rsidR="001C3A4D" w:rsidRDefault="001C3A4D" w:rsidP="00372ECB">
      <w:pPr>
        <w:numPr>
          <w:ilvl w:val="0"/>
          <w:numId w:val="18"/>
        </w:numPr>
        <w:spacing w:after="0" w:line="240" w:lineRule="auto"/>
        <w:ind w:left="714" w:hanging="357"/>
        <w:rPr>
          <w:rFonts w:ascii="Calibri Light" w:hAnsi="Calibri Light" w:cs="Calibri Light"/>
          <w:bCs/>
          <w:color w:val="000000"/>
          <w:sz w:val="24"/>
          <w:szCs w:val="24"/>
        </w:rPr>
      </w:pPr>
      <w:r w:rsidRPr="001C3A4D">
        <w:rPr>
          <w:rFonts w:ascii="Calibri Light" w:hAnsi="Calibri Light" w:cs="Calibri Light"/>
          <w:bCs/>
          <w:color w:val="000000"/>
          <w:sz w:val="24"/>
          <w:szCs w:val="24"/>
        </w:rPr>
        <w:t>D’après cette étude, quels sont les avantages du marché unique pour les consommateurs ?</w:t>
      </w:r>
      <w:r w:rsidR="00372ECB">
        <w:rPr>
          <w:rFonts w:ascii="Calibri Light" w:hAnsi="Calibri Light" w:cs="Calibri Light"/>
          <w:bCs/>
          <w:color w:val="000000"/>
          <w:sz w:val="24"/>
          <w:szCs w:val="24"/>
        </w:rPr>
        <w:t xml:space="preserve"> Pour les producteurs</w:t>
      </w:r>
      <w:r w:rsidRPr="00372ECB">
        <w:rPr>
          <w:rFonts w:ascii="Calibri Light" w:hAnsi="Calibri Light" w:cs="Calibri Light"/>
          <w:bCs/>
          <w:color w:val="000000"/>
          <w:sz w:val="24"/>
          <w:szCs w:val="24"/>
        </w:rPr>
        <w:t> ?</w:t>
      </w:r>
    </w:p>
    <w:p w:rsidR="00372ECB" w:rsidRPr="00372ECB" w:rsidRDefault="00372ECB" w:rsidP="00372ECB">
      <w:pPr>
        <w:numPr>
          <w:ilvl w:val="0"/>
          <w:numId w:val="18"/>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Pourquoi les coûts de production seraient-ils abaissés pour les entreprises ?</w:t>
      </w:r>
    </w:p>
    <w:p w:rsidR="001C3A4D" w:rsidRDefault="001C3A4D" w:rsidP="001C3A4D">
      <w:pPr>
        <w:ind w:left="720"/>
        <w:rPr>
          <w:rFonts w:ascii="Calibri Light" w:hAnsi="Calibri Light" w:cs="Calibri Light"/>
          <w:b/>
          <w:color w:val="000000"/>
          <w:sz w:val="28"/>
          <w:szCs w:val="28"/>
        </w:rPr>
      </w:pPr>
    </w:p>
    <w:p w:rsidR="006E5023" w:rsidRDefault="006E5023" w:rsidP="00294AD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D17D28">
        <w:rPr>
          <w:rFonts w:ascii="Calibri Light" w:hAnsi="Calibri Light" w:cs="Calibri Light"/>
          <w:b/>
          <w:color w:val="000000"/>
          <w:sz w:val="28"/>
          <w:szCs w:val="28"/>
        </w:rPr>
        <w:t>2</w:t>
      </w:r>
      <w:r>
        <w:rPr>
          <w:rFonts w:ascii="Calibri Light" w:hAnsi="Calibri Light" w:cs="Calibri Light"/>
          <w:b/>
          <w:color w:val="000000"/>
          <w:sz w:val="28"/>
          <w:szCs w:val="28"/>
        </w:rPr>
        <w:t> : Les retombées du marché unique estimées par la commission européenne</w:t>
      </w:r>
    </w:p>
    <w:p w:rsidR="00E035DF" w:rsidRPr="00BB7FAF" w:rsidRDefault="006E5023" w:rsidP="00294ADA">
      <w:pPr>
        <w:rPr>
          <w:rFonts w:ascii="Calibri Light" w:hAnsi="Calibri Light" w:cs="Calibri Light"/>
          <w:b/>
          <w:color w:val="000000"/>
          <w:sz w:val="22"/>
        </w:rPr>
      </w:pPr>
      <w:r w:rsidRPr="00BB7FAF">
        <w:rPr>
          <w:rFonts w:ascii="Arial" w:hAnsi="Arial" w:cs="Arial"/>
          <w:sz w:val="22"/>
        </w:rPr>
        <w:t>Le marché unique, qui vise à instaurer la liberté de circulation des personnes, des biens, des services et des</w:t>
      </w:r>
      <w:r w:rsidR="00E035DF" w:rsidRPr="00BB7FAF">
        <w:rPr>
          <w:rFonts w:ascii="Arial" w:hAnsi="Arial" w:cs="Arial"/>
          <w:sz w:val="22"/>
        </w:rPr>
        <w:t xml:space="preserve"> </w:t>
      </w:r>
      <w:r w:rsidRPr="00BB7FAF">
        <w:rPr>
          <w:rFonts w:ascii="Arial" w:hAnsi="Arial" w:cs="Arial"/>
          <w:sz w:val="22"/>
        </w:rPr>
        <w:t>capitaux, a déjà produit des résultats remarquables. Selon les estimations de la Commission européenne, les</w:t>
      </w:r>
      <w:r w:rsidR="00E035DF" w:rsidRPr="00BB7FAF">
        <w:rPr>
          <w:rFonts w:ascii="Arial" w:hAnsi="Arial" w:cs="Arial"/>
          <w:sz w:val="22"/>
        </w:rPr>
        <w:t xml:space="preserve"> </w:t>
      </w:r>
      <w:r w:rsidRPr="00BB7FAF">
        <w:rPr>
          <w:rFonts w:ascii="Arial" w:hAnsi="Arial" w:cs="Arial"/>
          <w:sz w:val="22"/>
        </w:rPr>
        <w:t>retombées du marché unique représentent de</w:t>
      </w:r>
      <w:r w:rsidR="00E035DF" w:rsidRPr="00BB7FAF">
        <w:rPr>
          <w:rFonts w:ascii="Arial" w:hAnsi="Arial" w:cs="Arial"/>
          <w:sz w:val="22"/>
        </w:rPr>
        <w:t xml:space="preserve"> </w:t>
      </w:r>
      <w:r w:rsidRPr="00BB7FAF">
        <w:rPr>
          <w:rFonts w:ascii="Arial" w:hAnsi="Arial" w:cs="Arial"/>
          <w:sz w:val="22"/>
        </w:rPr>
        <w:t>8 à</w:t>
      </w:r>
      <w:r w:rsidR="008908C4">
        <w:rPr>
          <w:rFonts w:ascii="Arial" w:hAnsi="Arial" w:cs="Arial"/>
          <w:sz w:val="22"/>
        </w:rPr>
        <w:t xml:space="preserve"> </w:t>
      </w:r>
      <w:r w:rsidRPr="00BB7FAF">
        <w:rPr>
          <w:rFonts w:ascii="Arial" w:hAnsi="Arial" w:cs="Arial"/>
          <w:sz w:val="22"/>
        </w:rPr>
        <w:t>9</w:t>
      </w:r>
      <w:r w:rsidR="008908C4">
        <w:rPr>
          <w:rFonts w:ascii="Arial" w:hAnsi="Arial" w:cs="Arial"/>
          <w:sz w:val="22"/>
        </w:rPr>
        <w:t xml:space="preserve"> </w:t>
      </w:r>
      <w:r w:rsidRPr="00BB7FAF">
        <w:rPr>
          <w:rFonts w:ascii="Arial" w:hAnsi="Arial" w:cs="Arial"/>
          <w:sz w:val="22"/>
        </w:rPr>
        <w:t>% du</w:t>
      </w:r>
      <w:r w:rsidR="00E035DF" w:rsidRPr="00BB7FAF">
        <w:rPr>
          <w:rFonts w:ascii="Arial" w:hAnsi="Arial" w:cs="Arial"/>
          <w:sz w:val="22"/>
        </w:rPr>
        <w:t xml:space="preserve"> </w:t>
      </w:r>
      <w:r w:rsidRPr="00BB7FAF">
        <w:rPr>
          <w:rFonts w:ascii="Arial" w:hAnsi="Arial" w:cs="Arial"/>
          <w:sz w:val="22"/>
        </w:rPr>
        <w:t>PIB de</w:t>
      </w:r>
      <w:r w:rsidR="00E035DF" w:rsidRPr="00BB7FAF">
        <w:rPr>
          <w:rFonts w:ascii="Arial" w:hAnsi="Arial" w:cs="Arial"/>
          <w:sz w:val="22"/>
        </w:rPr>
        <w:t xml:space="preserve"> </w:t>
      </w:r>
      <w:r w:rsidRPr="00BB7FAF">
        <w:rPr>
          <w:rFonts w:ascii="Arial" w:hAnsi="Arial" w:cs="Arial"/>
          <w:sz w:val="22"/>
        </w:rPr>
        <w:t>l’UE, compte tenu des effets directs induits sur les échanges et la concurrence. Le marché unique a permis d’élargir et d’améliorer les choix offerts aux consommateurs tout en abaissant les prix. Il a notamment contribué au développement des interconne</w:t>
      </w:r>
      <w:r w:rsidR="00660165">
        <w:rPr>
          <w:rFonts w:ascii="Arial" w:hAnsi="Arial" w:cs="Arial"/>
          <w:sz w:val="22"/>
        </w:rPr>
        <w:t>x</w:t>
      </w:r>
      <w:r w:rsidRPr="00BB7FAF">
        <w:rPr>
          <w:rFonts w:ascii="Arial" w:hAnsi="Arial" w:cs="Arial"/>
          <w:sz w:val="22"/>
        </w:rPr>
        <w:t>ions entre les différents marchés de l’électricité, assurant les conditions d’une baisse des prix de l’électricité pour les consommateurs (graphique7.1). Le marché unique des services se développe, en partie grâce aux nouvelles règles de l’UE, mais aussi aux réformes de l’action publique engagées dans les pays membres. Ces réformes ont pour effet d’abaisser les coûts inutiles provoqués par des normes réglementaires nationales restrictives ou fortement divergentes, et permettent aux entreprises, en particulier aux PME, d’accroître leur productivité et de contribuer à la création d’emplois nouveaux et de meilleure qualité.</w:t>
      </w:r>
      <w:r w:rsidRPr="00BB7FAF">
        <w:rPr>
          <w:rFonts w:ascii="Calibri Light" w:hAnsi="Calibri Light" w:cs="Calibri Light"/>
          <w:b/>
          <w:color w:val="000000"/>
          <w:sz w:val="22"/>
        </w:rPr>
        <w:t xml:space="preserve"> </w:t>
      </w:r>
    </w:p>
    <w:p w:rsidR="00E035DF" w:rsidRDefault="00065449" w:rsidP="00294ADA">
      <w:pPr>
        <w:rPr>
          <w:noProof/>
        </w:rPr>
      </w:pPr>
      <w:r>
        <w:rPr>
          <w:noProof/>
          <w:lang w:eastAsia="fr-FR"/>
        </w:rPr>
        <w:drawing>
          <wp:inline distT="0" distB="0" distL="0" distR="0">
            <wp:extent cx="6648450" cy="319087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6648450" cy="3190875"/>
                    </a:xfrm>
                    <a:prstGeom prst="rect">
                      <a:avLst/>
                    </a:prstGeom>
                    <a:noFill/>
                    <a:ln w="9525">
                      <a:noFill/>
                      <a:miter lim="800000"/>
                      <a:headEnd/>
                      <a:tailEnd/>
                    </a:ln>
                  </pic:spPr>
                </pic:pic>
              </a:graphicData>
            </a:graphic>
          </wp:inline>
        </w:drawing>
      </w:r>
    </w:p>
    <w:p w:rsidR="000E2164" w:rsidRPr="000E2164" w:rsidRDefault="000E2164" w:rsidP="000E2164">
      <w:pPr>
        <w:spacing w:after="0" w:line="240" w:lineRule="auto"/>
        <w:jc w:val="right"/>
        <w:rPr>
          <w:noProof/>
          <w:szCs w:val="20"/>
        </w:rPr>
      </w:pPr>
      <w:r w:rsidRPr="000E2164">
        <w:rPr>
          <w:noProof/>
          <w:szCs w:val="20"/>
        </w:rPr>
        <w:t>OCDE, «  L’Union européenne : l’humain en priorité », mai 2019</w:t>
      </w:r>
    </w:p>
    <w:p w:rsidR="000E2164" w:rsidRPr="000E2164" w:rsidRDefault="000E2164" w:rsidP="000E2164">
      <w:pPr>
        <w:spacing w:after="0" w:line="240" w:lineRule="auto"/>
        <w:jc w:val="right"/>
        <w:rPr>
          <w:rFonts w:ascii="Calibri Light" w:hAnsi="Calibri Light" w:cs="Calibri Light"/>
          <w:color w:val="000000"/>
          <w:szCs w:val="20"/>
        </w:rPr>
      </w:pPr>
      <w:hyperlink r:id="rId8" w:history="1">
        <w:r w:rsidRPr="000E2164">
          <w:rPr>
            <w:rStyle w:val="Lienhypertexte"/>
            <w:rFonts w:ascii="Calibri Light" w:hAnsi="Calibri Light" w:cs="Calibri Light"/>
            <w:szCs w:val="20"/>
          </w:rPr>
          <w:t>https://search.oecd.org/fr/ue/L-Union-Europeenne-L-Humain-en-Priorite-fr.pdf</w:t>
        </w:r>
      </w:hyperlink>
    </w:p>
    <w:p w:rsidR="000E2164" w:rsidRDefault="000E2164" w:rsidP="00294ADA">
      <w:pPr>
        <w:rPr>
          <w:rFonts w:ascii="Calibri Light" w:hAnsi="Calibri Light" w:cs="Calibri Light"/>
          <w:b/>
          <w:color w:val="000000"/>
          <w:sz w:val="28"/>
          <w:szCs w:val="28"/>
        </w:rPr>
      </w:pPr>
    </w:p>
    <w:p w:rsidR="000E2164" w:rsidRPr="000E2164" w:rsidRDefault="00E035DF" w:rsidP="000E2164">
      <w:pPr>
        <w:numPr>
          <w:ilvl w:val="0"/>
          <w:numId w:val="15"/>
        </w:numPr>
        <w:spacing w:after="0" w:line="240" w:lineRule="auto"/>
        <w:ind w:left="714" w:hanging="357"/>
        <w:rPr>
          <w:rFonts w:ascii="Calibri Light" w:hAnsi="Calibri Light" w:cs="Calibri Light"/>
          <w:bCs/>
          <w:color w:val="000000"/>
          <w:sz w:val="24"/>
          <w:szCs w:val="24"/>
        </w:rPr>
      </w:pPr>
      <w:r w:rsidRPr="00E035DF">
        <w:rPr>
          <w:rFonts w:ascii="Calibri Light" w:hAnsi="Calibri Light" w:cs="Calibri Light"/>
          <w:bCs/>
          <w:color w:val="000000"/>
          <w:sz w:val="24"/>
          <w:szCs w:val="24"/>
        </w:rPr>
        <w:t xml:space="preserve">En 2019, le PIB réalisé par les 27 Etats membres s’élevait à 14 000 milliards d’euros, d’après les estimations de la </w:t>
      </w:r>
      <w:r w:rsidR="00C97070">
        <w:rPr>
          <w:rFonts w:ascii="Calibri Light" w:hAnsi="Calibri Light" w:cs="Calibri Light"/>
          <w:bCs/>
          <w:color w:val="000000"/>
          <w:sz w:val="24"/>
          <w:szCs w:val="24"/>
        </w:rPr>
        <w:t>C</w:t>
      </w:r>
      <w:r w:rsidRPr="00E035DF">
        <w:rPr>
          <w:rFonts w:ascii="Calibri Light" w:hAnsi="Calibri Light" w:cs="Calibri Light"/>
          <w:bCs/>
          <w:color w:val="000000"/>
          <w:sz w:val="24"/>
          <w:szCs w:val="24"/>
        </w:rPr>
        <w:t>ommission européenne, quel montant de ce PIB est lié aux retombées du marché unique ?</w:t>
      </w:r>
    </w:p>
    <w:p w:rsidR="000E2164" w:rsidRDefault="000E2164" w:rsidP="000E2164">
      <w:pPr>
        <w:numPr>
          <w:ilvl w:val="0"/>
          <w:numId w:val="15"/>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Quels sont les « effets directs induits sur les échanges et la concurrence » ?</w:t>
      </w:r>
    </w:p>
    <w:p w:rsidR="000E2164" w:rsidRDefault="000E2164" w:rsidP="000E2164">
      <w:pPr>
        <w:numPr>
          <w:ilvl w:val="0"/>
          <w:numId w:val="15"/>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Mobilise</w:t>
      </w:r>
      <w:r w:rsidR="00C37707">
        <w:rPr>
          <w:rFonts w:ascii="Calibri Light" w:hAnsi="Calibri Light" w:cs="Calibri Light"/>
          <w:bCs/>
          <w:color w:val="000000"/>
          <w:sz w:val="24"/>
          <w:szCs w:val="24"/>
        </w:rPr>
        <w:t>z</w:t>
      </w:r>
      <w:r>
        <w:rPr>
          <w:rFonts w:ascii="Calibri Light" w:hAnsi="Calibri Light" w:cs="Calibri Light"/>
          <w:bCs/>
          <w:color w:val="000000"/>
          <w:sz w:val="24"/>
          <w:szCs w:val="24"/>
        </w:rPr>
        <w:t xml:space="preserve"> des données chiffrées pour montrer que les interconne</w:t>
      </w:r>
      <w:r w:rsidR="00C97070">
        <w:rPr>
          <w:rFonts w:ascii="Calibri Light" w:hAnsi="Calibri Light" w:cs="Calibri Light"/>
          <w:bCs/>
          <w:color w:val="000000"/>
          <w:sz w:val="24"/>
          <w:szCs w:val="24"/>
        </w:rPr>
        <w:t>x</w:t>
      </w:r>
      <w:r>
        <w:rPr>
          <w:rFonts w:ascii="Calibri Light" w:hAnsi="Calibri Light" w:cs="Calibri Light"/>
          <w:bCs/>
          <w:color w:val="000000"/>
          <w:sz w:val="24"/>
          <w:szCs w:val="24"/>
        </w:rPr>
        <w:t xml:space="preserve">ions entre les marchés favorisent </w:t>
      </w:r>
      <w:r w:rsidR="00C37707">
        <w:rPr>
          <w:rFonts w:ascii="Calibri Light" w:hAnsi="Calibri Light" w:cs="Calibri Light"/>
          <w:bCs/>
          <w:color w:val="000000"/>
          <w:sz w:val="24"/>
          <w:szCs w:val="24"/>
        </w:rPr>
        <w:t xml:space="preserve">les échanges et </w:t>
      </w:r>
      <w:r>
        <w:rPr>
          <w:rFonts w:ascii="Calibri Light" w:hAnsi="Calibri Light" w:cs="Calibri Light"/>
          <w:bCs/>
          <w:color w:val="000000"/>
          <w:sz w:val="24"/>
          <w:szCs w:val="24"/>
        </w:rPr>
        <w:t>la baisse des prix.</w:t>
      </w:r>
    </w:p>
    <w:p w:rsidR="000E2164" w:rsidRPr="00E035DF" w:rsidRDefault="000E2164" w:rsidP="000E2164">
      <w:pPr>
        <w:numPr>
          <w:ilvl w:val="0"/>
          <w:numId w:val="15"/>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Quel effet le développement du marché des services a-t-il sur l’emploi ?</w:t>
      </w:r>
    </w:p>
    <w:p w:rsidR="006E5023" w:rsidRDefault="00065449" w:rsidP="00294ADA">
      <w:pPr>
        <w:rPr>
          <w:rFonts w:ascii="Calibri Light" w:hAnsi="Calibri Light" w:cs="Calibri Light"/>
          <w:b/>
          <w:color w:val="000000"/>
          <w:sz w:val="28"/>
          <w:szCs w:val="28"/>
        </w:rPr>
      </w:pPr>
      <w:r>
        <w:rPr>
          <w:noProof/>
          <w:lang w:eastAsia="fr-FR"/>
        </w:rPr>
        <w:lastRenderedPageBreak/>
        <w:drawing>
          <wp:anchor distT="0" distB="0" distL="114300" distR="114300" simplePos="0" relativeHeight="251652608" behindDoc="1" locked="0" layoutInCell="1" allowOverlap="1">
            <wp:simplePos x="0" y="0"/>
            <wp:positionH relativeFrom="column">
              <wp:posOffset>3248025</wp:posOffset>
            </wp:positionH>
            <wp:positionV relativeFrom="paragraph">
              <wp:posOffset>361950</wp:posOffset>
            </wp:positionV>
            <wp:extent cx="3476625" cy="5619750"/>
            <wp:effectExtent l="19050" t="19050" r="28575" b="19050"/>
            <wp:wrapTight wrapText="bothSides">
              <wp:wrapPolygon edited="0">
                <wp:start x="-118" y="-73"/>
                <wp:lineTo x="-118" y="21673"/>
                <wp:lineTo x="21778" y="21673"/>
                <wp:lineTo x="21778" y="-73"/>
                <wp:lineTo x="-118" y="-73"/>
              </wp:wrapPolygon>
            </wp:wrapTight>
            <wp:docPr id="12" name="Image 12" descr="Les régions européennes profitent toutes du marché unique, mais les gains de revenus par habitant varient considérablement du nord au sud et de l’est à l’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s régions européennes profitent toutes du marché unique, mais les gains de revenus par habitant varient considérablement du nord au sud et de l’est à l’ouest."/>
                    <pic:cNvPicPr>
                      <a:picLocks noChangeAspect="1" noChangeArrowheads="1"/>
                    </pic:cNvPicPr>
                  </pic:nvPicPr>
                  <pic:blipFill>
                    <a:blip r:embed="rId9" r:link="rId10"/>
                    <a:srcRect/>
                    <a:stretch>
                      <a:fillRect/>
                    </a:stretch>
                  </pic:blipFill>
                  <pic:spPr bwMode="auto">
                    <a:xfrm>
                      <a:off x="0" y="0"/>
                      <a:ext cx="3476625" cy="5619750"/>
                    </a:xfrm>
                    <a:prstGeom prst="rect">
                      <a:avLst/>
                    </a:prstGeom>
                    <a:noFill/>
                    <a:ln w="9525">
                      <a:solidFill>
                        <a:srgbClr val="000000"/>
                      </a:solidFill>
                      <a:miter lim="800000"/>
                      <a:headEnd/>
                      <a:tailEnd/>
                    </a:ln>
                  </pic:spPr>
                </pic:pic>
              </a:graphicData>
            </a:graphic>
          </wp:anchor>
        </w:drawing>
      </w:r>
      <w:r w:rsidR="006E5023">
        <w:rPr>
          <w:rFonts w:ascii="Calibri Light" w:hAnsi="Calibri Light" w:cs="Calibri Light"/>
          <w:b/>
          <w:color w:val="000000"/>
          <w:sz w:val="28"/>
          <w:szCs w:val="28"/>
        </w:rPr>
        <w:t xml:space="preserve">Document </w:t>
      </w:r>
      <w:r w:rsidR="00D17D28">
        <w:rPr>
          <w:rFonts w:ascii="Calibri Light" w:hAnsi="Calibri Light" w:cs="Calibri Light"/>
          <w:b/>
          <w:color w:val="000000"/>
          <w:sz w:val="28"/>
          <w:szCs w:val="28"/>
        </w:rPr>
        <w:t>3</w:t>
      </w:r>
      <w:r w:rsidR="006E5023">
        <w:rPr>
          <w:rFonts w:ascii="Calibri Light" w:hAnsi="Calibri Light" w:cs="Calibri Light"/>
          <w:b/>
          <w:color w:val="000000"/>
          <w:sz w:val="28"/>
          <w:szCs w:val="28"/>
        </w:rPr>
        <w:t> : Les gains liés au marché unique sont inégalement répartis</w:t>
      </w:r>
    </w:p>
    <w:p w:rsidR="0093266E" w:rsidRPr="009F778B" w:rsidRDefault="0093266E" w:rsidP="009F778B">
      <w:pPr>
        <w:ind w:firstLine="708"/>
        <w:rPr>
          <w:sz w:val="24"/>
          <w:szCs w:val="24"/>
        </w:rPr>
      </w:pPr>
      <w:r w:rsidRPr="009F778B">
        <w:rPr>
          <w:sz w:val="24"/>
          <w:szCs w:val="24"/>
        </w:rPr>
        <w:t>D’après une étude de la fondation allemande Bertelsmann, le marché unique accroîtrait le revenu des citoyens de 840 euros par an en moyenne. Un chiffre qui masque toutefois des disparités importantes.</w:t>
      </w:r>
    </w:p>
    <w:p w:rsidR="0093266E" w:rsidRPr="009F778B" w:rsidRDefault="0093266E" w:rsidP="009F778B">
      <w:pPr>
        <w:ind w:firstLine="708"/>
        <w:rPr>
          <w:rFonts w:ascii="Calibri Light" w:hAnsi="Calibri Light" w:cs="Calibri Light"/>
          <w:b/>
          <w:color w:val="000000"/>
          <w:sz w:val="24"/>
          <w:szCs w:val="24"/>
        </w:rPr>
      </w:pPr>
      <w:r w:rsidRPr="009F778B">
        <w:rPr>
          <w:sz w:val="24"/>
          <w:szCs w:val="24"/>
        </w:rPr>
        <w:t>« [les régions gagnantes] du marché intérieur sont les régions les plus urbanisées et industrialisées, celles qui attirent les travailleurs qualifiés et mobiles. Assez logiquement, les citoyens des régions rurales excentrées de l’est et du sud de l’Europe ‘les Bulgares, les Roumains ou les Grecs captent moins les bénéfices avec des surcroîts de richesse allant seulement de 117 à 500 euros par ans et par citoyen.</w:t>
      </w:r>
      <w:r w:rsidR="009F778B" w:rsidRPr="009F778B">
        <w:rPr>
          <w:sz w:val="24"/>
          <w:szCs w:val="24"/>
        </w:rPr>
        <w:t xml:space="preserve"> Autre constat : ce ne sont pas les économies les plus importantes qui en tirent le plus avantage, mais plutôt de petites économies particulièrement tournées vers les exportations, très compétitives et géographiquement centrales, situées à des carrefours commerciaux ancestraux [Luxembourg, Belgique, Autriche, Pays-Bas]. </w:t>
      </w:r>
      <w:r w:rsidR="004667F2" w:rsidRPr="009F778B">
        <w:rPr>
          <w:sz w:val="24"/>
          <w:szCs w:val="24"/>
        </w:rPr>
        <w:t>« Nos</w:t>
      </w:r>
      <w:r w:rsidR="009F778B" w:rsidRPr="009F778B">
        <w:rPr>
          <w:sz w:val="24"/>
          <w:szCs w:val="24"/>
        </w:rPr>
        <w:t xml:space="preserve"> résultats suggèrent que la participation au marché unique serait un facteur renforçant les divisio</w:t>
      </w:r>
      <w:r w:rsidR="004667F2">
        <w:rPr>
          <w:sz w:val="24"/>
          <w:szCs w:val="24"/>
        </w:rPr>
        <w:t>ns</w:t>
      </w:r>
      <w:r w:rsidR="009F778B" w:rsidRPr="009F778B">
        <w:rPr>
          <w:sz w:val="24"/>
          <w:szCs w:val="24"/>
        </w:rPr>
        <w:t xml:space="preserve"> préexistantes entre le nord et le sud de certains territoires, ainsi que celles entre l’est et l’Ouest », avancent également les auteurs de l’étude.</w:t>
      </w:r>
    </w:p>
    <w:p w:rsidR="0093266E" w:rsidRPr="001C3A4D" w:rsidRDefault="009F778B" w:rsidP="004667F2">
      <w:pPr>
        <w:jc w:val="right"/>
        <w:rPr>
          <w:rFonts w:cs="Calibri"/>
          <w:color w:val="000000"/>
          <w:sz w:val="22"/>
        </w:rPr>
      </w:pPr>
      <w:r w:rsidRPr="001C3A4D">
        <w:rPr>
          <w:rFonts w:cs="Calibri"/>
          <w:sz w:val="22"/>
        </w:rPr>
        <w:t>Cécile Ducourtieux, « Le marché intérieur de l’Union européenne</w:t>
      </w:r>
      <w:r w:rsidR="004667F2" w:rsidRPr="001C3A4D">
        <w:rPr>
          <w:rFonts w:cs="Calibri"/>
          <w:sz w:val="22"/>
        </w:rPr>
        <w:t xml:space="preserve"> profite d’abord à Zurich et à Londres », le Monde, 9 mais 2019</w:t>
      </w:r>
    </w:p>
    <w:p w:rsidR="0093266E" w:rsidRDefault="0093266E" w:rsidP="004667F2">
      <w:pPr>
        <w:jc w:val="right"/>
        <w:rPr>
          <w:rFonts w:cs="Calibri"/>
          <w:color w:val="000000"/>
          <w:sz w:val="22"/>
        </w:rPr>
      </w:pPr>
      <w:hyperlink r:id="rId11" w:history="1">
        <w:r w:rsidRPr="001C3A4D">
          <w:rPr>
            <w:rStyle w:val="Lienhypertexte"/>
            <w:rFonts w:cs="Calibri"/>
            <w:sz w:val="22"/>
          </w:rPr>
          <w:t>https://www.lemonde.fr/economie/article/2019/05/09/le-marche-interieur-de-l-union-europeenne-profite-d-abord-a-zurich-et-a-londres_5459924_3234.html</w:t>
        </w:r>
      </w:hyperlink>
    </w:p>
    <w:p w:rsidR="00BB7FAF" w:rsidRPr="001C3A4D" w:rsidRDefault="00BB7FAF" w:rsidP="004667F2">
      <w:pPr>
        <w:jc w:val="right"/>
        <w:rPr>
          <w:rFonts w:cs="Calibri"/>
          <w:color w:val="000000"/>
          <w:sz w:val="22"/>
        </w:rPr>
      </w:pPr>
    </w:p>
    <w:p w:rsidR="0093266E" w:rsidRPr="004667F2" w:rsidRDefault="004667F2" w:rsidP="004667F2">
      <w:pPr>
        <w:numPr>
          <w:ilvl w:val="0"/>
          <w:numId w:val="16"/>
        </w:numPr>
        <w:spacing w:after="0" w:line="240" w:lineRule="auto"/>
        <w:ind w:left="714" w:hanging="357"/>
        <w:rPr>
          <w:rFonts w:ascii="Calibri Light" w:hAnsi="Calibri Light" w:cs="Calibri Light"/>
          <w:bCs/>
          <w:color w:val="000000"/>
          <w:sz w:val="24"/>
          <w:szCs w:val="24"/>
        </w:rPr>
      </w:pPr>
      <w:r w:rsidRPr="004667F2">
        <w:rPr>
          <w:rFonts w:ascii="Calibri Light" w:hAnsi="Calibri Light" w:cs="Calibri Light"/>
          <w:bCs/>
          <w:color w:val="000000"/>
          <w:sz w:val="24"/>
          <w:szCs w:val="24"/>
        </w:rPr>
        <w:t>Les gains du marché unique sont-ils également répartis ? Appuyez votre réponse sur des données chiffrées.</w:t>
      </w:r>
    </w:p>
    <w:p w:rsidR="004667F2" w:rsidRPr="004667F2" w:rsidRDefault="004667F2" w:rsidP="004667F2">
      <w:pPr>
        <w:numPr>
          <w:ilvl w:val="0"/>
          <w:numId w:val="16"/>
        </w:numPr>
        <w:spacing w:after="0" w:line="240" w:lineRule="auto"/>
        <w:ind w:left="714" w:hanging="357"/>
        <w:rPr>
          <w:rFonts w:ascii="Calibri Light" w:hAnsi="Calibri Light" w:cs="Calibri Light"/>
          <w:bCs/>
          <w:color w:val="000000"/>
          <w:sz w:val="24"/>
          <w:szCs w:val="24"/>
        </w:rPr>
      </w:pPr>
      <w:r w:rsidRPr="004667F2">
        <w:rPr>
          <w:rFonts w:ascii="Calibri Light" w:hAnsi="Calibri Light" w:cs="Calibri Light"/>
          <w:bCs/>
          <w:color w:val="000000"/>
          <w:sz w:val="24"/>
          <w:szCs w:val="24"/>
        </w:rPr>
        <w:t>Comment expliquer que certaines régions en profitent davantage que d’autres ?</w:t>
      </w:r>
    </w:p>
    <w:p w:rsidR="004667F2" w:rsidRPr="004667F2" w:rsidRDefault="004667F2" w:rsidP="004667F2">
      <w:pPr>
        <w:numPr>
          <w:ilvl w:val="0"/>
          <w:numId w:val="16"/>
        </w:numPr>
        <w:spacing w:after="0" w:line="240" w:lineRule="auto"/>
        <w:ind w:left="714" w:hanging="357"/>
        <w:rPr>
          <w:rFonts w:ascii="Calibri Light" w:hAnsi="Calibri Light" w:cs="Calibri Light"/>
          <w:bCs/>
          <w:color w:val="000000"/>
          <w:sz w:val="24"/>
          <w:szCs w:val="24"/>
        </w:rPr>
      </w:pPr>
      <w:r w:rsidRPr="004667F2">
        <w:rPr>
          <w:rFonts w:ascii="Calibri Light" w:hAnsi="Calibri Light" w:cs="Calibri Light"/>
          <w:bCs/>
          <w:color w:val="000000"/>
          <w:sz w:val="24"/>
          <w:szCs w:val="24"/>
        </w:rPr>
        <w:t>Observe-t-on également des inégalités à l’intérieur des économies nationales ? Illustrez votre réponse avec les pays suivants : Allemagne, Italie, Royaume Uni.</w:t>
      </w:r>
    </w:p>
    <w:p w:rsidR="004667F2" w:rsidRDefault="004667F2" w:rsidP="004667F2">
      <w:pPr>
        <w:ind w:left="720"/>
        <w:rPr>
          <w:rFonts w:ascii="Calibri Light" w:hAnsi="Calibri Light" w:cs="Calibri Light"/>
          <w:b/>
          <w:color w:val="000000"/>
          <w:sz w:val="28"/>
          <w:szCs w:val="28"/>
        </w:rPr>
      </w:pPr>
    </w:p>
    <w:p w:rsidR="00BB7FAF" w:rsidRDefault="00BB7FAF" w:rsidP="00294ADA">
      <w:pPr>
        <w:rPr>
          <w:rFonts w:ascii="Calibri Light" w:hAnsi="Calibri Light" w:cs="Calibri Light"/>
          <w:b/>
          <w:color w:val="000000"/>
          <w:sz w:val="28"/>
          <w:szCs w:val="28"/>
        </w:rPr>
      </w:pPr>
    </w:p>
    <w:p w:rsidR="00BB7FAF" w:rsidRDefault="00BB7FAF" w:rsidP="00294ADA">
      <w:pPr>
        <w:rPr>
          <w:rFonts w:ascii="Calibri Light" w:hAnsi="Calibri Light" w:cs="Calibri Light"/>
          <w:b/>
          <w:color w:val="000000"/>
          <w:sz w:val="28"/>
          <w:szCs w:val="28"/>
        </w:rPr>
      </w:pPr>
    </w:p>
    <w:p w:rsidR="006E5023" w:rsidRDefault="006E5023" w:rsidP="00294ADA">
      <w:pPr>
        <w:rPr>
          <w:rFonts w:ascii="Calibri Light" w:hAnsi="Calibri Light" w:cs="Calibri Light"/>
          <w:b/>
          <w:color w:val="000000"/>
          <w:sz w:val="28"/>
          <w:szCs w:val="28"/>
        </w:rPr>
      </w:pPr>
      <w:r>
        <w:rPr>
          <w:rFonts w:ascii="Calibri Light" w:hAnsi="Calibri Light" w:cs="Calibri Light"/>
          <w:b/>
          <w:color w:val="000000"/>
          <w:sz w:val="28"/>
          <w:szCs w:val="28"/>
        </w:rPr>
        <w:lastRenderedPageBreak/>
        <w:t xml:space="preserve">Document </w:t>
      </w:r>
      <w:r w:rsidR="00D17D28">
        <w:rPr>
          <w:rFonts w:ascii="Calibri Light" w:hAnsi="Calibri Light" w:cs="Calibri Light"/>
          <w:b/>
          <w:color w:val="000000"/>
          <w:sz w:val="28"/>
          <w:szCs w:val="28"/>
        </w:rPr>
        <w:t>4</w:t>
      </w:r>
      <w:r>
        <w:rPr>
          <w:rFonts w:ascii="Calibri Light" w:hAnsi="Calibri Light" w:cs="Calibri Light"/>
          <w:b/>
          <w:color w:val="000000"/>
          <w:sz w:val="28"/>
          <w:szCs w:val="28"/>
        </w:rPr>
        <w:t xml:space="preserve"> : </w:t>
      </w:r>
      <w:r w:rsidR="00CD0C32">
        <w:rPr>
          <w:rFonts w:ascii="Calibri Light" w:hAnsi="Calibri Light" w:cs="Calibri Light"/>
          <w:b/>
          <w:color w:val="000000"/>
          <w:sz w:val="28"/>
          <w:szCs w:val="28"/>
        </w:rPr>
        <w:t>Quel degré d’intégration pour les différents marchés ?</w:t>
      </w:r>
    </w:p>
    <w:p w:rsidR="005B43FE" w:rsidRDefault="005B43FE" w:rsidP="00294ADA">
      <w:pPr>
        <w:rPr>
          <w:rFonts w:ascii="Calibri Light" w:hAnsi="Calibri Light" w:cs="Calibri Light"/>
          <w:bCs/>
          <w:color w:val="000000"/>
          <w:sz w:val="24"/>
          <w:szCs w:val="24"/>
        </w:rPr>
      </w:pPr>
      <w:r w:rsidRPr="005B43FE">
        <w:rPr>
          <w:rFonts w:ascii="Calibri Light" w:hAnsi="Calibri Light" w:cs="Calibri Light"/>
          <w:bCs/>
          <w:color w:val="000000"/>
          <w:sz w:val="24"/>
          <w:szCs w:val="24"/>
        </w:rPr>
        <w:t>La libéralisation complète des mouvements de capitaux, la suppression du contrôle des changes et le lancement de la monnaie unique sur les marchés financiers (1999) puis dans l’ensemble de l’économie (2002) ont encore accéléré la fluidité du capital à l’échelle européenne. [...] Le marché des biens est lui aussi fortement intégré</w:t>
      </w:r>
      <w:r>
        <w:rPr>
          <w:rFonts w:ascii="Calibri Light" w:hAnsi="Calibri Light" w:cs="Calibri Light"/>
          <w:bCs/>
          <w:color w:val="000000"/>
          <w:sz w:val="24"/>
          <w:szCs w:val="24"/>
        </w:rPr>
        <w:t xml:space="preserve"> : </w:t>
      </w:r>
      <w:r w:rsidRPr="006039B4">
        <w:rPr>
          <w:rFonts w:ascii="Calibri Light" w:hAnsi="Calibri Light" w:cs="Calibri Light"/>
          <w:bCs/>
          <w:color w:val="000000"/>
          <w:sz w:val="24"/>
          <w:szCs w:val="24"/>
          <w:u w:val="single"/>
        </w:rPr>
        <w:t>les échanges extérieurs des Etats membres de l’UE sont aux deux tiers des échanges intra-UE</w:t>
      </w:r>
      <w:r>
        <w:rPr>
          <w:rFonts w:ascii="Calibri Light" w:hAnsi="Calibri Light" w:cs="Calibri Light"/>
          <w:bCs/>
          <w:color w:val="000000"/>
          <w:sz w:val="24"/>
          <w:szCs w:val="24"/>
        </w:rPr>
        <w:t>, et le marché unique européen représente aujourd’hui à lui seul environ un tiers de ce qu’il est convenu d’appeler la mondialisation.</w:t>
      </w:r>
      <w:r w:rsidR="006039B4">
        <w:rPr>
          <w:rFonts w:ascii="Calibri Light" w:hAnsi="Calibri Light" w:cs="Calibri Light"/>
          <w:bCs/>
          <w:color w:val="000000"/>
          <w:sz w:val="24"/>
          <w:szCs w:val="24"/>
        </w:rPr>
        <w:t xml:space="preserve"> </w:t>
      </w:r>
      <w:r>
        <w:rPr>
          <w:rFonts w:ascii="Calibri Light" w:hAnsi="Calibri Light" w:cs="Calibri Light"/>
          <w:bCs/>
          <w:color w:val="000000"/>
          <w:sz w:val="24"/>
          <w:szCs w:val="24"/>
        </w:rPr>
        <w:t>[...] Le marché des services européens, qui constituent 70 % du PIB de l’union européenne, mais représentent moins de 20 % des échanges, est en revanche loin d’être une réalité. [...] Enfin, il est encore impossible de parler d’un marché du travail européen</w:t>
      </w:r>
      <w:r w:rsidR="006039B4">
        <w:rPr>
          <w:rFonts w:ascii="Calibri Light" w:hAnsi="Calibri Light" w:cs="Calibri Light"/>
          <w:bCs/>
          <w:color w:val="000000"/>
          <w:sz w:val="24"/>
          <w:szCs w:val="24"/>
        </w:rPr>
        <w:t>. En effet, à peine 2 % de la main-d’œuvre est mobile à l’échelle de l’Union, et cette proportion est stable depuis 3 décennies.</w:t>
      </w:r>
    </w:p>
    <w:p w:rsidR="006039B4" w:rsidRDefault="006039B4" w:rsidP="006039B4">
      <w:pPr>
        <w:jc w:val="right"/>
        <w:rPr>
          <w:rFonts w:ascii="Calibri Light" w:hAnsi="Calibri Light" w:cs="Calibri Light"/>
          <w:bCs/>
          <w:color w:val="000000"/>
          <w:sz w:val="24"/>
          <w:szCs w:val="24"/>
        </w:rPr>
      </w:pPr>
      <w:r>
        <w:rPr>
          <w:rFonts w:ascii="Calibri Light" w:hAnsi="Calibri Light" w:cs="Calibri Light"/>
          <w:bCs/>
          <w:color w:val="000000"/>
          <w:sz w:val="24"/>
          <w:szCs w:val="24"/>
        </w:rPr>
        <w:t xml:space="preserve">« Une brève histoire de l’intégration économique européenne », in OFCE, </w:t>
      </w:r>
      <w:r w:rsidRPr="006039B4">
        <w:rPr>
          <w:rFonts w:ascii="Calibri Light" w:hAnsi="Calibri Light" w:cs="Calibri Light"/>
          <w:bCs/>
          <w:i/>
          <w:iCs/>
          <w:color w:val="000000"/>
          <w:sz w:val="24"/>
          <w:szCs w:val="24"/>
        </w:rPr>
        <w:t>L’Economie européenne 2017</w:t>
      </w:r>
      <w:r>
        <w:rPr>
          <w:rFonts w:ascii="Calibri Light" w:hAnsi="Calibri Light" w:cs="Calibri Light"/>
          <w:bCs/>
          <w:color w:val="000000"/>
          <w:sz w:val="24"/>
          <w:szCs w:val="24"/>
        </w:rPr>
        <w:t>, LA découverte, coll.Repères, 2017</w:t>
      </w:r>
    </w:p>
    <w:p w:rsidR="006039B4" w:rsidRDefault="006039B4" w:rsidP="00CD0C32">
      <w:pPr>
        <w:numPr>
          <w:ilvl w:val="0"/>
          <w:numId w:val="17"/>
        </w:numPr>
        <w:spacing w:after="0" w:line="240" w:lineRule="auto"/>
        <w:ind w:left="714" w:hanging="357"/>
        <w:jc w:val="left"/>
        <w:rPr>
          <w:rFonts w:ascii="Calibri Light" w:hAnsi="Calibri Light" w:cs="Calibri Light"/>
          <w:bCs/>
          <w:color w:val="000000"/>
          <w:sz w:val="24"/>
          <w:szCs w:val="24"/>
        </w:rPr>
      </w:pPr>
      <w:r>
        <w:rPr>
          <w:rFonts w:ascii="Calibri Light" w:hAnsi="Calibri Light" w:cs="Calibri Light"/>
          <w:bCs/>
          <w:color w:val="000000"/>
          <w:sz w:val="24"/>
          <w:szCs w:val="24"/>
        </w:rPr>
        <w:t>Que signifie le passage souligné</w:t>
      </w:r>
      <w:r w:rsidR="00CD0C32">
        <w:rPr>
          <w:rFonts w:ascii="Calibri Light" w:hAnsi="Calibri Light" w:cs="Calibri Light"/>
          <w:bCs/>
          <w:color w:val="000000"/>
          <w:sz w:val="24"/>
          <w:szCs w:val="24"/>
        </w:rPr>
        <w:t> ?</w:t>
      </w:r>
    </w:p>
    <w:p w:rsidR="00CD0C32" w:rsidRDefault="00CD0C32" w:rsidP="00CD0C32">
      <w:pPr>
        <w:numPr>
          <w:ilvl w:val="0"/>
          <w:numId w:val="17"/>
        </w:numPr>
        <w:spacing w:after="0" w:line="240" w:lineRule="auto"/>
        <w:ind w:left="714" w:hanging="357"/>
        <w:jc w:val="left"/>
        <w:rPr>
          <w:rFonts w:ascii="Calibri Light" w:hAnsi="Calibri Light" w:cs="Calibri Light"/>
          <w:bCs/>
          <w:color w:val="000000"/>
          <w:sz w:val="24"/>
          <w:szCs w:val="24"/>
        </w:rPr>
      </w:pPr>
      <w:r>
        <w:rPr>
          <w:rFonts w:ascii="Calibri Light" w:hAnsi="Calibri Light" w:cs="Calibri Light"/>
          <w:bCs/>
          <w:color w:val="000000"/>
          <w:sz w:val="24"/>
          <w:szCs w:val="24"/>
        </w:rPr>
        <w:t>Tous les marchés ont-ils atteint le même degré d’intégration ? Classez-les selon leur degré d’intégration du moins intégré au plus intégré.</w:t>
      </w:r>
    </w:p>
    <w:p w:rsidR="00CD0C32" w:rsidRDefault="00CD0C32" w:rsidP="00CD0C32">
      <w:pPr>
        <w:numPr>
          <w:ilvl w:val="0"/>
          <w:numId w:val="17"/>
        </w:numPr>
        <w:spacing w:after="0" w:line="240" w:lineRule="auto"/>
        <w:ind w:left="714" w:hanging="357"/>
        <w:jc w:val="left"/>
        <w:rPr>
          <w:rFonts w:ascii="Calibri Light" w:hAnsi="Calibri Light" w:cs="Calibri Light"/>
          <w:bCs/>
          <w:color w:val="000000"/>
          <w:sz w:val="24"/>
          <w:szCs w:val="24"/>
        </w:rPr>
      </w:pPr>
      <w:r>
        <w:rPr>
          <w:rFonts w:ascii="Calibri Light" w:hAnsi="Calibri Light" w:cs="Calibri Light"/>
          <w:bCs/>
          <w:color w:val="000000"/>
          <w:sz w:val="24"/>
          <w:szCs w:val="24"/>
        </w:rPr>
        <w:t>Comment expliquer le faible degré d’intégration du marché du travail ?</w:t>
      </w:r>
    </w:p>
    <w:p w:rsidR="00D17D28" w:rsidRDefault="00D17D28" w:rsidP="00D17D28">
      <w:pPr>
        <w:spacing w:after="0" w:line="240" w:lineRule="auto"/>
        <w:jc w:val="left"/>
        <w:rPr>
          <w:rFonts w:ascii="Calibri Light" w:hAnsi="Calibri Light" w:cs="Calibri Light"/>
          <w:bCs/>
          <w:color w:val="000000"/>
          <w:sz w:val="24"/>
          <w:szCs w:val="24"/>
        </w:rPr>
      </w:pPr>
    </w:p>
    <w:p w:rsidR="00D17D28" w:rsidRDefault="00D17D28" w:rsidP="00D17D28">
      <w:pPr>
        <w:spacing w:after="0" w:line="240" w:lineRule="auto"/>
        <w:jc w:val="left"/>
        <w:rPr>
          <w:rFonts w:ascii="Calibri Light" w:hAnsi="Calibri Light" w:cs="Calibri Light"/>
          <w:bCs/>
          <w:color w:val="000000"/>
          <w:sz w:val="24"/>
          <w:szCs w:val="24"/>
        </w:rPr>
      </w:pPr>
    </w:p>
    <w:p w:rsidR="00CD0C32" w:rsidRPr="005B43FE" w:rsidRDefault="00CD0C32" w:rsidP="00CD0C32">
      <w:pPr>
        <w:spacing w:after="0" w:line="240" w:lineRule="auto"/>
        <w:ind w:left="714"/>
        <w:jc w:val="left"/>
        <w:rPr>
          <w:rFonts w:ascii="Calibri Light" w:hAnsi="Calibri Light" w:cs="Calibri Light"/>
          <w:bCs/>
          <w:color w:val="000000"/>
          <w:sz w:val="24"/>
          <w:szCs w:val="24"/>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F664AE" w:rsidRDefault="0008410D" w:rsidP="000071D9">
      <w:pPr>
        <w:jc w:val="center"/>
        <w:rPr>
          <w:rFonts w:ascii="Calibri Light" w:hAnsi="Calibri Light" w:cs="Calibri Light"/>
          <w:b/>
          <w:color w:val="000000"/>
          <w:sz w:val="28"/>
          <w:szCs w:val="28"/>
        </w:rPr>
      </w:pPr>
      <w:r>
        <w:rPr>
          <w:rFonts w:ascii="Calibri Light" w:hAnsi="Calibri Light" w:cs="Calibri Light"/>
          <w:b/>
          <w:color w:val="000000"/>
          <w:sz w:val="28"/>
          <w:szCs w:val="28"/>
        </w:rPr>
        <w:t>Réalise</w:t>
      </w:r>
      <w:r w:rsidR="0066278A">
        <w:rPr>
          <w:rFonts w:ascii="Calibri Light" w:hAnsi="Calibri Light" w:cs="Calibri Light"/>
          <w:b/>
          <w:color w:val="000000"/>
          <w:sz w:val="28"/>
          <w:szCs w:val="28"/>
        </w:rPr>
        <w:t>z</w:t>
      </w:r>
      <w:r>
        <w:rPr>
          <w:rFonts w:ascii="Calibri Light" w:hAnsi="Calibri Light" w:cs="Calibri Light"/>
          <w:b/>
          <w:color w:val="000000"/>
          <w:sz w:val="28"/>
          <w:szCs w:val="28"/>
        </w:rPr>
        <w:t xml:space="preserve"> un</w:t>
      </w:r>
      <w:r w:rsidR="00596EA5">
        <w:rPr>
          <w:rFonts w:ascii="Calibri Light" w:hAnsi="Calibri Light" w:cs="Calibri Light"/>
          <w:b/>
          <w:color w:val="000000"/>
          <w:sz w:val="28"/>
          <w:szCs w:val="28"/>
        </w:rPr>
        <w:t>e carte</w:t>
      </w:r>
      <w:r w:rsidR="00755E4E">
        <w:rPr>
          <w:rFonts w:ascii="Calibri Light" w:hAnsi="Calibri Light" w:cs="Calibri Light"/>
          <w:b/>
          <w:color w:val="000000"/>
          <w:sz w:val="28"/>
          <w:szCs w:val="28"/>
        </w:rPr>
        <w:t xml:space="preserve"> mentale</w:t>
      </w:r>
      <w:r w:rsidR="00596EA5">
        <w:rPr>
          <w:rFonts w:ascii="Calibri Light" w:hAnsi="Calibri Light" w:cs="Calibri Light"/>
          <w:b/>
          <w:color w:val="000000"/>
          <w:sz w:val="28"/>
          <w:szCs w:val="28"/>
        </w:rPr>
        <w:t xml:space="preserve"> </w:t>
      </w:r>
      <w:r w:rsidR="005F42C0">
        <w:rPr>
          <w:rFonts w:ascii="Calibri Light" w:hAnsi="Calibri Light" w:cs="Calibri Light"/>
          <w:b/>
          <w:color w:val="000000"/>
          <w:sz w:val="28"/>
          <w:szCs w:val="28"/>
        </w:rPr>
        <w:t>permettant de mettre en relation l’ensemble des information</w:t>
      </w:r>
      <w:r w:rsidR="00D17D28">
        <w:rPr>
          <w:rFonts w:ascii="Calibri Light" w:hAnsi="Calibri Light" w:cs="Calibri Light"/>
          <w:b/>
          <w:color w:val="000000"/>
          <w:sz w:val="28"/>
          <w:szCs w:val="28"/>
        </w:rPr>
        <w:t xml:space="preserve">s </w:t>
      </w:r>
      <w:r w:rsidR="005F42C0">
        <w:rPr>
          <w:rFonts w:ascii="Calibri Light" w:hAnsi="Calibri Light" w:cs="Calibri Light"/>
          <w:b/>
          <w:color w:val="000000"/>
          <w:sz w:val="28"/>
          <w:szCs w:val="28"/>
        </w:rPr>
        <w:t>de la vidéo et du fichier d’activités</w:t>
      </w:r>
    </w:p>
    <w:p w:rsidR="00596EA5" w:rsidRDefault="00065449" w:rsidP="00596EA5">
      <w:pPr>
        <w:jc w:val="center"/>
        <w:rPr>
          <w:rFonts w:ascii="Calibri Light" w:hAnsi="Calibri Light" w:cs="Calibri Light"/>
          <w:b/>
          <w:color w:val="000000"/>
          <w:sz w:val="28"/>
          <w:szCs w:val="28"/>
        </w:rPr>
      </w:pPr>
      <w:r>
        <w:rPr>
          <w:noProof/>
          <w:lang w:eastAsia="fr-FR"/>
        </w:rPr>
        <w:drawing>
          <wp:inline distT="0" distB="0" distL="0" distR="0">
            <wp:extent cx="3305175" cy="2352675"/>
            <wp:effectExtent l="19050" t="0" r="9525" b="0"/>
            <wp:docPr id="7" name="Image 7" descr="CARTES MENTALES – Lala aime sa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ES MENTALES – Lala aime sa classe"/>
                    <pic:cNvPicPr>
                      <a:picLocks noChangeAspect="1" noChangeArrowheads="1"/>
                    </pic:cNvPicPr>
                  </pic:nvPicPr>
                  <pic:blipFill>
                    <a:blip r:embed="rId12"/>
                    <a:srcRect/>
                    <a:stretch>
                      <a:fillRect/>
                    </a:stretch>
                  </pic:blipFill>
                  <pic:spPr bwMode="auto">
                    <a:xfrm>
                      <a:off x="0" y="0"/>
                      <a:ext cx="3305175" cy="2352675"/>
                    </a:xfrm>
                    <a:prstGeom prst="rect">
                      <a:avLst/>
                    </a:prstGeom>
                    <a:noFill/>
                    <a:ln w="9525">
                      <a:noFill/>
                      <a:miter lim="800000"/>
                      <a:headEnd/>
                      <a:tailEnd/>
                    </a:ln>
                  </pic:spPr>
                </pic:pic>
              </a:graphicData>
            </a:graphic>
          </wp:inline>
        </w:drawing>
      </w:r>
    </w:p>
    <w:sectPr w:rsidR="00596EA5"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E83BB7"/>
    <w:multiLevelType w:val="hybridMultilevel"/>
    <w:tmpl w:val="3EF6F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4166C6"/>
    <w:multiLevelType w:val="hybridMultilevel"/>
    <w:tmpl w:val="65AE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C173D6"/>
    <w:multiLevelType w:val="hybridMultilevel"/>
    <w:tmpl w:val="E6DE5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5975E7"/>
    <w:multiLevelType w:val="hybridMultilevel"/>
    <w:tmpl w:val="B13AB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7"/>
  </w:num>
  <w:num w:numId="5">
    <w:abstractNumId w:val="17"/>
  </w:num>
  <w:num w:numId="6">
    <w:abstractNumId w:val="11"/>
  </w:num>
  <w:num w:numId="7">
    <w:abstractNumId w:val="0"/>
  </w:num>
  <w:num w:numId="8">
    <w:abstractNumId w:val="16"/>
  </w:num>
  <w:num w:numId="9">
    <w:abstractNumId w:val="2"/>
  </w:num>
  <w:num w:numId="10">
    <w:abstractNumId w:val="4"/>
  </w:num>
  <w:num w:numId="11">
    <w:abstractNumId w:val="13"/>
  </w:num>
  <w:num w:numId="12">
    <w:abstractNumId w:val="1"/>
  </w:num>
  <w:num w:numId="13">
    <w:abstractNumId w:val="5"/>
  </w:num>
  <w:num w:numId="14">
    <w:abstractNumId w:val="12"/>
  </w:num>
  <w:num w:numId="15">
    <w:abstractNumId w:val="8"/>
  </w:num>
  <w:num w:numId="16">
    <w:abstractNumId w:val="10"/>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24F4D"/>
    <w:rsid w:val="000071D9"/>
    <w:rsid w:val="00065449"/>
    <w:rsid w:val="0008410D"/>
    <w:rsid w:val="000E2164"/>
    <w:rsid w:val="0015508A"/>
    <w:rsid w:val="00157892"/>
    <w:rsid w:val="001C3A4D"/>
    <w:rsid w:val="00294ADA"/>
    <w:rsid w:val="00310606"/>
    <w:rsid w:val="00372ECB"/>
    <w:rsid w:val="003A4034"/>
    <w:rsid w:val="004667F2"/>
    <w:rsid w:val="004A433D"/>
    <w:rsid w:val="004E5E52"/>
    <w:rsid w:val="00512970"/>
    <w:rsid w:val="0056010B"/>
    <w:rsid w:val="00596EA5"/>
    <w:rsid w:val="005A1C3B"/>
    <w:rsid w:val="005B43FE"/>
    <w:rsid w:val="005F42C0"/>
    <w:rsid w:val="006039B4"/>
    <w:rsid w:val="00660165"/>
    <w:rsid w:val="0066278A"/>
    <w:rsid w:val="006E5023"/>
    <w:rsid w:val="00751914"/>
    <w:rsid w:val="00755E4E"/>
    <w:rsid w:val="00824F4D"/>
    <w:rsid w:val="008422BB"/>
    <w:rsid w:val="008908C4"/>
    <w:rsid w:val="00902B78"/>
    <w:rsid w:val="0093266E"/>
    <w:rsid w:val="009413C9"/>
    <w:rsid w:val="00991F49"/>
    <w:rsid w:val="009B763A"/>
    <w:rsid w:val="009F778B"/>
    <w:rsid w:val="00A35123"/>
    <w:rsid w:val="00AF22ED"/>
    <w:rsid w:val="00B57045"/>
    <w:rsid w:val="00B678C2"/>
    <w:rsid w:val="00B9780C"/>
    <w:rsid w:val="00BB7FAF"/>
    <w:rsid w:val="00BF0E2C"/>
    <w:rsid w:val="00C37707"/>
    <w:rsid w:val="00C41E81"/>
    <w:rsid w:val="00C87291"/>
    <w:rsid w:val="00C97070"/>
    <w:rsid w:val="00CD0C32"/>
    <w:rsid w:val="00CD4B8D"/>
    <w:rsid w:val="00CF1B79"/>
    <w:rsid w:val="00D17D28"/>
    <w:rsid w:val="00D61AEB"/>
    <w:rsid w:val="00DF1AEA"/>
    <w:rsid w:val="00E035DF"/>
    <w:rsid w:val="00E20F97"/>
    <w:rsid w:val="00E24ACD"/>
    <w:rsid w:val="00E3526D"/>
    <w:rsid w:val="00E94C64"/>
    <w:rsid w:val="00EE6BB4"/>
    <w:rsid w:val="00F664A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5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search.oecd.org/fr/ue/L-Union-Europeenne-L-Humain-en-Priorite-f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monde.fr/economie/article/2019/05/09/le-marche-interieur-de-l-union-europeenne-profite-d-abord-a-zurich-et-a-londres_5459924_3234.html" TargetMode="External"/><Relationship Id="rId5" Type="http://schemas.openxmlformats.org/officeDocument/2006/relationships/image" Target="media/image1.png"/><Relationship Id="rId10" Type="http://schemas.openxmlformats.org/officeDocument/2006/relationships/image" Target="https://img.lemde.fr/2019/05/09/0/0/960/1554/688/0/60/0/447cf8f_WcyASkE7ciuao0oCH8z6Yb8p.p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Links>
    <vt:vector size="18" baseType="variant">
      <vt:variant>
        <vt:i4>5963807</vt:i4>
      </vt:variant>
      <vt:variant>
        <vt:i4>3</vt:i4>
      </vt:variant>
      <vt:variant>
        <vt:i4>0</vt:i4>
      </vt:variant>
      <vt:variant>
        <vt:i4>5</vt:i4>
      </vt:variant>
      <vt:variant>
        <vt:lpwstr>https://www.lemonde.fr/economie/article/2019/05/09/le-marche-interieur-de-l-union-europeenne-profite-d-abord-a-zurich-et-a-londres_5459924_3234.html</vt:lpwstr>
      </vt:variant>
      <vt:variant>
        <vt:lpwstr/>
      </vt:variant>
      <vt:variant>
        <vt:i4>5832775</vt:i4>
      </vt:variant>
      <vt:variant>
        <vt:i4>0</vt:i4>
      </vt:variant>
      <vt:variant>
        <vt:i4>0</vt:i4>
      </vt:variant>
      <vt:variant>
        <vt:i4>5</vt:i4>
      </vt:variant>
      <vt:variant>
        <vt:lpwstr>https://search.oecd.org/fr/ue/L-Union-Europeenne-L-Humain-en-Priorite-fr.pdf</vt:lpwstr>
      </vt:variant>
      <vt:variant>
        <vt:lpwstr/>
      </vt:variant>
      <vt:variant>
        <vt:i4>2555976</vt:i4>
      </vt:variant>
      <vt:variant>
        <vt:i4>-1</vt:i4>
      </vt:variant>
      <vt:variant>
        <vt:i4>1036</vt:i4>
      </vt:variant>
      <vt:variant>
        <vt:i4>1</vt:i4>
      </vt:variant>
      <vt:variant>
        <vt:lpwstr>https://img.lemde.fr/2019/05/09/0/0/960/1554/688/0/60/0/447cf8f_WcyASkE7ciuao0oCH8z6Yb8p.png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2021-06-12T06:42:00Z</dcterms:created>
  <dcterms:modified xsi:type="dcterms:W3CDTF">2021-06-12T06:42:00Z</dcterms:modified>
</cp:coreProperties>
</file>