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CA" w:rsidRPr="00BC10DE" w:rsidRDefault="00D848FD"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Comment expliquer les crises financières et réguler le système financier</w:t>
      </w:r>
      <w:r w:rsidR="00B36ECA" w:rsidRPr="00BC10DE">
        <w:rPr>
          <w:b/>
          <w:sz w:val="36"/>
          <w:szCs w:val="36"/>
        </w:rPr>
        <w:t> ?</w:t>
      </w:r>
    </w:p>
    <w:p w:rsidR="00B36ECA"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w:t>
      </w:r>
    </w:p>
    <w:p w:rsidR="00B36ECA" w:rsidRPr="00BC10DE" w:rsidRDefault="00D848FD"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Crises financières et bulles spéculatives (2</w:t>
      </w:r>
      <w:r w:rsidR="00B36ECA" w:rsidRPr="00BC10DE">
        <w:rPr>
          <w:b/>
          <w:sz w:val="36"/>
          <w:szCs w:val="36"/>
        </w:rPr>
        <w:t>/5)</w:t>
      </w:r>
    </w:p>
    <w:p w:rsidR="00B36ECA"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w:t>
      </w:r>
    </w:p>
    <w:p w:rsidR="00E61E55"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F</w:t>
      </w:r>
      <w:bookmarkStart w:id="0" w:name="_GoBack"/>
      <w:bookmarkEnd w:id="0"/>
      <w:r w:rsidRPr="00BC10DE">
        <w:rPr>
          <w:b/>
          <w:sz w:val="36"/>
          <w:szCs w:val="36"/>
        </w:rPr>
        <w:t>ichier d’activités</w:t>
      </w:r>
    </w:p>
    <w:p w:rsidR="00B36ECA" w:rsidRDefault="00B36ECA" w:rsidP="00E61E55">
      <w:pPr>
        <w:pBdr>
          <w:bottom w:val="single" w:sz="4" w:space="1" w:color="auto"/>
        </w:pBdr>
        <w:jc w:val="center"/>
        <w:rPr>
          <w:rFonts w:ascii="Calibri Light" w:hAnsi="Calibri Light"/>
          <w:b/>
          <w:color w:val="000000" w:themeColor="text1"/>
          <w:sz w:val="28"/>
          <w:szCs w:val="28"/>
        </w:rPr>
      </w:pPr>
    </w:p>
    <w:p w:rsidR="00B36ECA" w:rsidRPr="001B6B65" w:rsidRDefault="00B36ECA" w:rsidP="00E61E55">
      <w:pPr>
        <w:pBdr>
          <w:bottom w:val="single" w:sz="4" w:space="1" w:color="auto"/>
        </w:pBdr>
        <w:jc w:val="center"/>
        <w:rPr>
          <w:rFonts w:ascii="Calibri Light" w:hAnsi="Calibri Light"/>
          <w:b/>
          <w:color w:val="000000" w:themeColor="text1"/>
          <w:sz w:val="28"/>
          <w:szCs w:val="28"/>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342B9C">
        <w:rPr>
          <w:rFonts w:ascii="Calibri Light" w:hAnsi="Calibri Light"/>
          <w:b/>
          <w:color w:val="000000" w:themeColor="text1"/>
          <w:sz w:val="32"/>
          <w:szCs w:val="32"/>
        </w:rPr>
        <w:t>3</w:t>
      </w:r>
      <w:r w:rsidR="009426AB">
        <w:rPr>
          <w:rFonts w:ascii="Calibri Light" w:hAnsi="Calibri Light"/>
          <w:b/>
          <w:color w:val="000000" w:themeColor="text1"/>
          <w:sz w:val="32"/>
          <w:szCs w:val="32"/>
        </w:rPr>
        <w:t xml:space="preserve"> </w:t>
      </w:r>
      <w:r>
        <w:rPr>
          <w:rFonts w:ascii="Calibri Light" w:hAnsi="Calibri Light"/>
          <w:b/>
          <w:color w:val="000000" w:themeColor="text1"/>
          <w:sz w:val="32"/>
          <w:szCs w:val="32"/>
        </w:rPr>
        <w:t>h</w:t>
      </w:r>
      <w:r w:rsidRPr="00506EBE">
        <w:rPr>
          <w:rFonts w:ascii="Calibri Light" w:hAnsi="Calibri Light"/>
          <w:b/>
          <w:color w:val="000000" w:themeColor="text1"/>
          <w:sz w:val="32"/>
          <w:szCs w:val="32"/>
        </w:rPr>
        <w:t>)</w:t>
      </w:r>
    </w:p>
    <w:p w:rsidR="004233CC" w:rsidRDefault="004233CC" w:rsidP="005547BE">
      <w:pPr>
        <w:pStyle w:val="Sansinterligne"/>
      </w:pPr>
    </w:p>
    <w:p w:rsidR="00E61E55" w:rsidRPr="00C972C6" w:rsidRDefault="00E61E55" w:rsidP="00C972C6">
      <w:pPr>
        <w:rPr>
          <w:rFonts w:asciiTheme="minorHAnsi" w:hAnsiTheme="minorHAnsi" w:cstheme="minorHAnsi"/>
        </w:rPr>
      </w:pPr>
      <w:r w:rsidRPr="00C972C6">
        <w:rPr>
          <w:rFonts w:asciiTheme="minorHAnsi" w:hAnsiTheme="minorHAnsi" w:cstheme="minorHAnsi"/>
        </w:rPr>
        <w:t xml:space="preserve">Document 1 </w:t>
      </w:r>
      <w:r w:rsidR="00F35289" w:rsidRPr="00C972C6">
        <w:rPr>
          <w:rFonts w:asciiTheme="minorHAnsi" w:hAnsiTheme="minorHAnsi" w:cstheme="minorHAnsi"/>
        </w:rPr>
        <w:t>–</w:t>
      </w:r>
      <w:r w:rsidRPr="00C972C6">
        <w:rPr>
          <w:rFonts w:asciiTheme="minorHAnsi" w:hAnsiTheme="minorHAnsi" w:cstheme="minorHAnsi"/>
        </w:rPr>
        <w:t xml:space="preserve"> </w:t>
      </w:r>
      <w:r w:rsidR="003A5F5F" w:rsidRPr="00C972C6">
        <w:rPr>
          <w:rFonts w:asciiTheme="minorHAnsi" w:hAnsiTheme="minorHAnsi" w:cstheme="minorHAnsi"/>
        </w:rPr>
        <w:t>La diversité des crises financières</w:t>
      </w:r>
    </w:p>
    <w:p w:rsidR="000552D9" w:rsidRPr="00C972C6" w:rsidRDefault="000552D9" w:rsidP="00C972C6">
      <w:pPr>
        <w:rPr>
          <w:rFonts w:asciiTheme="minorHAnsi" w:hAnsiTheme="minorHAnsi" w:cstheme="minorHAnsi"/>
        </w:rPr>
      </w:pPr>
    </w:p>
    <w:p w:rsidR="00727475" w:rsidRPr="00C972C6" w:rsidRDefault="00727475" w:rsidP="00C972C6">
      <w:pPr>
        <w:jc w:val="both"/>
        <w:rPr>
          <w:rFonts w:asciiTheme="minorHAnsi" w:hAnsiTheme="minorHAnsi" w:cstheme="minorHAnsi"/>
        </w:rPr>
      </w:pPr>
      <w:r w:rsidRPr="00C972C6">
        <w:rPr>
          <w:rFonts w:asciiTheme="minorHAnsi" w:hAnsiTheme="minorHAnsi" w:cstheme="minorHAnsi"/>
        </w:rPr>
        <w:t>Les crises financières sont très diverses d’abord par les marchés ou les institutions qu’elles frappent. [On distingue] principalement trois types de crises financières :</w:t>
      </w:r>
    </w:p>
    <w:p w:rsidR="00727475" w:rsidRPr="00C972C6" w:rsidRDefault="00727475" w:rsidP="00C972C6">
      <w:pPr>
        <w:pStyle w:val="Paragraphedeliste"/>
        <w:numPr>
          <w:ilvl w:val="0"/>
          <w:numId w:val="31"/>
        </w:numPr>
        <w:jc w:val="both"/>
        <w:rPr>
          <w:rFonts w:asciiTheme="minorHAnsi" w:hAnsiTheme="minorHAnsi" w:cstheme="minorHAnsi"/>
        </w:rPr>
      </w:pPr>
      <w:r w:rsidRPr="00C972C6">
        <w:rPr>
          <w:rFonts w:asciiTheme="minorHAnsi" w:hAnsiTheme="minorHAnsi" w:cstheme="minorHAnsi"/>
        </w:rPr>
        <w:t>les crises de change ;</w:t>
      </w:r>
    </w:p>
    <w:p w:rsidR="00727475" w:rsidRPr="00C972C6" w:rsidRDefault="00727475" w:rsidP="00C972C6">
      <w:pPr>
        <w:pStyle w:val="Paragraphedeliste"/>
        <w:numPr>
          <w:ilvl w:val="0"/>
          <w:numId w:val="31"/>
        </w:numPr>
        <w:jc w:val="both"/>
        <w:rPr>
          <w:rFonts w:asciiTheme="minorHAnsi" w:hAnsiTheme="minorHAnsi" w:cstheme="minorHAnsi"/>
        </w:rPr>
      </w:pPr>
      <w:r w:rsidRPr="00C972C6">
        <w:rPr>
          <w:rFonts w:asciiTheme="minorHAnsi" w:hAnsiTheme="minorHAnsi" w:cstheme="minorHAnsi"/>
        </w:rPr>
        <w:t>les crises bancaires ;</w:t>
      </w:r>
    </w:p>
    <w:p w:rsidR="00727475" w:rsidRPr="00C972C6" w:rsidRDefault="00727475" w:rsidP="00C972C6">
      <w:pPr>
        <w:pStyle w:val="Paragraphedeliste"/>
        <w:numPr>
          <w:ilvl w:val="0"/>
          <w:numId w:val="31"/>
        </w:numPr>
        <w:jc w:val="both"/>
        <w:rPr>
          <w:rFonts w:asciiTheme="minorHAnsi" w:hAnsiTheme="minorHAnsi" w:cstheme="minorHAnsi"/>
        </w:rPr>
      </w:pPr>
      <w:r w:rsidRPr="00C972C6">
        <w:rPr>
          <w:rFonts w:asciiTheme="minorHAnsi" w:hAnsiTheme="minorHAnsi" w:cstheme="minorHAnsi"/>
        </w:rPr>
        <w:t>et les crises boursières.</w:t>
      </w:r>
    </w:p>
    <w:p w:rsidR="00727475" w:rsidRPr="00C972C6" w:rsidRDefault="00727475" w:rsidP="00C972C6">
      <w:pPr>
        <w:jc w:val="both"/>
        <w:rPr>
          <w:rFonts w:asciiTheme="minorHAnsi" w:hAnsiTheme="minorHAnsi" w:cstheme="minorHAnsi"/>
        </w:rPr>
      </w:pPr>
      <w:r w:rsidRPr="00C972C6">
        <w:rPr>
          <w:rFonts w:asciiTheme="minorHAnsi" w:hAnsiTheme="minorHAnsi" w:cstheme="minorHAnsi"/>
        </w:rPr>
        <w:t>[D’autres] crises ont joué un rôle essentiel dans l’histoire financière des dernières décennies, notamment les crises immobilières, les crises obligataires et les crises de la dette souveraine. […]</w:t>
      </w:r>
      <w:r w:rsidR="008E79D8" w:rsidRPr="00C972C6">
        <w:rPr>
          <w:rFonts w:asciiTheme="minorHAnsi" w:hAnsiTheme="minorHAnsi" w:cstheme="minorHAnsi"/>
        </w:rPr>
        <w:t xml:space="preserve"> </w:t>
      </w:r>
      <w:r w:rsidRPr="00C972C6">
        <w:rPr>
          <w:rFonts w:asciiTheme="minorHAnsi" w:hAnsiTheme="minorHAnsi" w:cstheme="minorHAnsi"/>
        </w:rPr>
        <w:t>Et aussi des crises sans doute plus anecdotiques par les objets de la spéculation dont elles sont la conséquence, tels par exemple que les métaux précieux, les matières premières, mais qui fournissent beaucoup d’enseignements sur leurs ressorts profonds.</w:t>
      </w:r>
    </w:p>
    <w:p w:rsidR="000552D9" w:rsidRDefault="000552D9" w:rsidP="005547BE">
      <w:pPr>
        <w:pStyle w:val="Sansinterligne"/>
      </w:pPr>
    </w:p>
    <w:p w:rsidR="009506F9" w:rsidRPr="008E79D8" w:rsidRDefault="00727475" w:rsidP="009506F9">
      <w:pPr>
        <w:pStyle w:val="Titre1"/>
        <w:spacing w:before="0" w:beforeAutospacing="0" w:after="0" w:afterAutospacing="0"/>
        <w:jc w:val="right"/>
        <w:rPr>
          <w:rFonts w:asciiTheme="minorHAnsi" w:hAnsiTheme="minorHAnsi" w:cstheme="minorHAnsi"/>
          <w:b w:val="0"/>
          <w:i/>
          <w:sz w:val="20"/>
          <w:szCs w:val="20"/>
        </w:rPr>
      </w:pPr>
      <w:r w:rsidRPr="008E79D8">
        <w:rPr>
          <w:rFonts w:asciiTheme="minorHAnsi" w:hAnsiTheme="minorHAnsi" w:cstheme="minorHAnsi"/>
          <w:b w:val="0"/>
          <w:bCs w:val="0"/>
          <w:i/>
          <w:iCs/>
          <w:color w:val="231F20"/>
          <w:kern w:val="0"/>
          <w:sz w:val="20"/>
          <w:szCs w:val="20"/>
        </w:rPr>
        <w:t xml:space="preserve">Robert Boyer, Mario Dehove et Dominique Plihon, </w:t>
      </w:r>
      <w:hyperlink r:id="rId7" w:history="1">
        <w:r w:rsidRPr="004D1EE7">
          <w:rPr>
            <w:rStyle w:val="Lienhypertexte"/>
            <w:rFonts w:asciiTheme="minorHAnsi" w:hAnsiTheme="minorHAnsi" w:cstheme="minorHAnsi"/>
            <w:b w:val="0"/>
            <w:bCs w:val="0"/>
            <w:i/>
            <w:iCs/>
            <w:kern w:val="0"/>
            <w:sz w:val="20"/>
            <w:szCs w:val="20"/>
          </w:rPr>
          <w:t>Les crises financières</w:t>
        </w:r>
      </w:hyperlink>
      <w:r w:rsidRPr="008E79D8">
        <w:rPr>
          <w:rFonts w:asciiTheme="minorHAnsi" w:hAnsiTheme="minorHAnsi" w:cstheme="minorHAnsi"/>
          <w:b w:val="0"/>
          <w:bCs w:val="0"/>
          <w:i/>
          <w:iCs/>
          <w:color w:val="231F20"/>
          <w:kern w:val="0"/>
          <w:sz w:val="20"/>
          <w:szCs w:val="20"/>
        </w:rPr>
        <w:t>, Conseil d’Analyse Économique</w:t>
      </w:r>
      <w:r w:rsidR="008E79D8" w:rsidRPr="008E79D8">
        <w:rPr>
          <w:rFonts w:asciiTheme="minorHAnsi" w:hAnsiTheme="minorHAnsi" w:cstheme="minorHAnsi"/>
          <w:b w:val="0"/>
          <w:bCs w:val="0"/>
          <w:i/>
          <w:iCs/>
          <w:color w:val="231F20"/>
          <w:kern w:val="0"/>
          <w:sz w:val="20"/>
          <w:szCs w:val="20"/>
        </w:rPr>
        <w:t>,</w:t>
      </w:r>
      <w:r w:rsidR="008E79D8" w:rsidRPr="008E79D8">
        <w:rPr>
          <w:rFonts w:asciiTheme="minorHAnsi" w:hAnsiTheme="minorHAnsi" w:cstheme="minorHAnsi"/>
          <w:i/>
          <w:sz w:val="20"/>
          <w:szCs w:val="20"/>
        </w:rPr>
        <w:t xml:space="preserve"> </w:t>
      </w:r>
      <w:r w:rsidR="008E79D8" w:rsidRPr="008E79D8">
        <w:rPr>
          <w:rFonts w:asciiTheme="minorHAnsi" w:hAnsiTheme="minorHAnsi" w:cstheme="minorHAnsi"/>
          <w:b w:val="0"/>
          <w:bCs w:val="0"/>
          <w:i/>
          <w:color w:val="231F20"/>
          <w:kern w:val="0"/>
          <w:sz w:val="20"/>
          <w:szCs w:val="20"/>
        </w:rPr>
        <w:t>La Documentation française. Paris, 2004</w:t>
      </w:r>
    </w:p>
    <w:p w:rsidR="00F35289" w:rsidRDefault="00F35289" w:rsidP="00F478D6">
      <w:pPr>
        <w:jc w:val="right"/>
      </w:pPr>
    </w:p>
    <w:p w:rsidR="003A5F5F" w:rsidRDefault="003A5F5F" w:rsidP="003A5F5F">
      <w:pPr>
        <w:pStyle w:val="Paragraphedeliste"/>
        <w:widowControl w:val="0"/>
        <w:numPr>
          <w:ilvl w:val="0"/>
          <w:numId w:val="8"/>
        </w:numPr>
        <w:autoSpaceDE w:val="0"/>
        <w:autoSpaceDN w:val="0"/>
        <w:adjustRightInd w:val="0"/>
        <w:rPr>
          <w:rFonts w:ascii="Calibri" w:hAnsi="Calibri" w:cs="Calibri"/>
        </w:rPr>
      </w:pPr>
      <w:r>
        <w:rPr>
          <w:rFonts w:ascii="Calibri" w:hAnsi="Calibri" w:cs="Calibri"/>
        </w:rPr>
        <w:t>Une crise financière ne concerne-t-elle que les marchés financiers ?</w:t>
      </w:r>
    </w:p>
    <w:p w:rsidR="003A5F5F" w:rsidRDefault="003A5F5F" w:rsidP="003A5F5F">
      <w:pPr>
        <w:pStyle w:val="Paragraphedeliste"/>
        <w:widowControl w:val="0"/>
        <w:numPr>
          <w:ilvl w:val="0"/>
          <w:numId w:val="8"/>
        </w:numPr>
        <w:autoSpaceDE w:val="0"/>
        <w:autoSpaceDN w:val="0"/>
        <w:adjustRightInd w:val="0"/>
        <w:rPr>
          <w:rFonts w:ascii="Calibri" w:hAnsi="Calibri" w:cs="Calibri"/>
        </w:rPr>
      </w:pPr>
      <w:r>
        <w:rPr>
          <w:rFonts w:ascii="Calibri" w:hAnsi="Calibri" w:cs="Calibri"/>
        </w:rPr>
        <w:t>Quel pourrait être l’indicateur d’une crise de change ?</w:t>
      </w:r>
    </w:p>
    <w:p w:rsidR="003A5F5F" w:rsidRDefault="003A5F5F" w:rsidP="003A5F5F">
      <w:pPr>
        <w:pStyle w:val="Paragraphedeliste"/>
        <w:widowControl w:val="0"/>
        <w:numPr>
          <w:ilvl w:val="0"/>
          <w:numId w:val="8"/>
        </w:numPr>
        <w:autoSpaceDE w:val="0"/>
        <w:autoSpaceDN w:val="0"/>
        <w:adjustRightInd w:val="0"/>
        <w:rPr>
          <w:rFonts w:ascii="Calibri" w:hAnsi="Calibri" w:cs="Calibri"/>
        </w:rPr>
      </w:pPr>
      <w:r>
        <w:rPr>
          <w:rFonts w:ascii="Calibri" w:hAnsi="Calibri" w:cs="Calibri"/>
        </w:rPr>
        <w:t>Quel pourrait être l’indicateur d’une crise bancaire ?</w:t>
      </w:r>
    </w:p>
    <w:p w:rsidR="003A5F5F" w:rsidRDefault="003A5F5F" w:rsidP="003A5F5F">
      <w:pPr>
        <w:pStyle w:val="Paragraphedeliste"/>
        <w:widowControl w:val="0"/>
        <w:numPr>
          <w:ilvl w:val="0"/>
          <w:numId w:val="8"/>
        </w:numPr>
        <w:autoSpaceDE w:val="0"/>
        <w:autoSpaceDN w:val="0"/>
        <w:adjustRightInd w:val="0"/>
        <w:rPr>
          <w:rFonts w:ascii="Calibri" w:hAnsi="Calibri" w:cs="Calibri"/>
        </w:rPr>
      </w:pPr>
      <w:r>
        <w:rPr>
          <w:rFonts w:ascii="Calibri" w:hAnsi="Calibri" w:cs="Calibri"/>
        </w:rPr>
        <w:t>Qu’est-ce qu’une crise de la dette souveraine ?</w:t>
      </w:r>
    </w:p>
    <w:p w:rsidR="003A5F5F" w:rsidRDefault="003A5F5F" w:rsidP="003A5F5F">
      <w:pPr>
        <w:pStyle w:val="Paragraphedeliste"/>
        <w:widowControl w:val="0"/>
        <w:numPr>
          <w:ilvl w:val="0"/>
          <w:numId w:val="8"/>
        </w:numPr>
        <w:autoSpaceDE w:val="0"/>
        <w:autoSpaceDN w:val="0"/>
        <w:adjustRightInd w:val="0"/>
        <w:rPr>
          <w:rFonts w:ascii="Calibri" w:hAnsi="Calibri" w:cs="Calibri"/>
        </w:rPr>
      </w:pPr>
      <w:r>
        <w:rPr>
          <w:rFonts w:ascii="Calibri" w:hAnsi="Calibri" w:cs="Calibri"/>
        </w:rPr>
        <w:t>Comment un bien réel peut-il provoquer une crise financière ?</w:t>
      </w:r>
    </w:p>
    <w:p w:rsidR="003A5F5F" w:rsidRDefault="003A5F5F" w:rsidP="003A5F5F"/>
    <w:p w:rsidR="00750D37" w:rsidRDefault="00750D37" w:rsidP="003A5F5F"/>
    <w:p w:rsidR="004D1EE7" w:rsidRPr="00C972C6" w:rsidRDefault="004D1EE7" w:rsidP="00C972C6">
      <w:pPr>
        <w:rPr>
          <w:rFonts w:asciiTheme="minorHAnsi" w:hAnsiTheme="minorHAnsi" w:cstheme="minorHAnsi"/>
        </w:rPr>
      </w:pPr>
      <w:r w:rsidRPr="00C972C6">
        <w:rPr>
          <w:rFonts w:asciiTheme="minorHAnsi" w:hAnsiTheme="minorHAnsi" w:cstheme="minorHAnsi"/>
        </w:rPr>
        <w:t>Document 2 – La « Tulipomania » au XVIIème siècle</w:t>
      </w:r>
    </w:p>
    <w:p w:rsidR="004D1EE7" w:rsidRDefault="004D1EE7" w:rsidP="003A5F5F"/>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Plus connue sous le nom de la tulipomanie, le krach des tulipes est la première crise financière inscrite dans l’histoire de la bulle spéculative. Elle eut lieu en Hollande et concerne l’effondrement de la spéculation démesurée sur le bulbe de tulipe.</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Au début du XVIIè siècle, le Nord de l’Europe manifeste un engouement pour l’horticulture et le jardinage. La tulipe, originaire de Constantinople, est considérée comme une plante rare et est méconnue du grand public. L’époque se passionne pour la création d’hybrides et de nouvelles variétés voient le jour. La tulipe fait l’objet de plus en plus de convoitise, à tel point que des voleurs s’immiscent dans les jardins botaniques pour voler les bulbes.</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Rapidement, la tulipe devient le symbole de luxe, la fleur désirée par la bourgeoisie fortunée. La tulipe fait son apparition dans les livres, les peintures (exemple : les bouquets de fleurs de Bruegel), les catalogues commerciaux (dédiés aux différentes variétés des tulipes).</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lastRenderedPageBreak/>
        <w:t>La tulipe est une plante à bulbe qui se reproduit par semence ou par division du bulbe. Elle fleurit en avril et en mai, c’est pourquoi, les ventes au comptant avaient lieu durant ces deux mois.</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Le reste de l’année, les contrats signés devant notaire étaient des achats sur marché à terme, c'est-à-dire des ventes qui portaient sur des bulbes n’existant pas encore.</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C’est ainsi que les Néerlandais créent un marché sur lequel le bulbe de tulipe se négocie comme un bien durable. L’apparition d’une demande française stimule les ventes et les spéculateurs entrent sur le marché. Deux ans plus tard, un système similaire à une bourse de commerce où se négocie les contrats à terme se met en place. Ni l’acheteur, ni le négociant ne fournissait de dépôt de garantie car il n’existait pas de système de marge</w:t>
      </w:r>
      <w:r>
        <w:rPr>
          <w:rFonts w:asciiTheme="minorHAnsi" w:hAnsiTheme="minorHAnsi" w:cstheme="minorHAnsi"/>
        </w:rPr>
        <w:t xml:space="preserve"> (</w:t>
      </w:r>
      <w:r w:rsidRPr="003A5F5F">
        <w:rPr>
          <w:rFonts w:asciiTheme="minorHAnsi" w:hAnsiTheme="minorHAnsi" w:cstheme="minorHAnsi"/>
        </w:rPr>
        <w:t xml:space="preserve">ou </w:t>
      </w:r>
      <w:r>
        <w:rPr>
          <w:rStyle w:val="lev"/>
          <w:rFonts w:asciiTheme="minorHAnsi" w:hAnsiTheme="minorHAnsi" w:cstheme="minorHAnsi"/>
          <w:b w:val="0"/>
        </w:rPr>
        <w:t>a</w:t>
      </w:r>
      <w:r w:rsidRPr="003A5F5F">
        <w:rPr>
          <w:rStyle w:val="lev"/>
          <w:rFonts w:asciiTheme="minorHAnsi" w:hAnsiTheme="minorHAnsi" w:cstheme="minorHAnsi"/>
          <w:b w:val="0"/>
        </w:rPr>
        <w:t>ppel de marge</w:t>
      </w:r>
      <w:r w:rsidRPr="003A5F5F">
        <w:rPr>
          <w:rFonts w:asciiTheme="minorHAnsi" w:hAnsiTheme="minorHAnsi" w:cstheme="minorHAnsi"/>
        </w:rPr>
        <w:t>, le versement obligatoire de fonds supplémentaires permet de couvrir la dépréciation de sa position ouverte sur le marché</w:t>
      </w:r>
      <w:r>
        <w:t>)</w:t>
      </w:r>
      <w:r w:rsidRPr="003A5F5F">
        <w:rPr>
          <w:rFonts w:asciiTheme="minorHAnsi" w:hAnsiTheme="minorHAnsi" w:cstheme="minorHAnsi"/>
        </w:rPr>
        <w:t>. Or, il faut savoir que les tulipes sont fragiles et victimes potentielles de nombreux virus.</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Les prix commencent à réellement exploser en 1634 jusqu'à fin 1636. Au plus fort de la bulle, des promesses de vente pour un bulbe de tulipe pouvait se négocier à un prix record de 6 700 florins, soit la valeur de deux maisons, huit fois celui d’un veau gras et vingt fois le salaire annuel d’un ouvrier spécialisé !</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En février 1637, les spéculateurs se rendent compte de l'irrationalité de ce phénomène : le prix des contrats à terme de bulbes de tulipe s’effondre brutalement. La chute des cours est si subite qu’aucun des contrats ne peut être honoré. De nombreux marchands firent banqueroute. En avril 1637, tous les accords spéculatifs furent annulés et le prix maximum pour un bulbe de tulipe fut fixé à 50 florins.</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Cette bulle, qui a fini par exploser, a marqué l’histoire économique et financière moderne. Elle est annonciatrice de toutes les bulles qui vont suivre y compris la bulle internet. Tous les ressorts et mécanismes financiers modernes étaient déjà, à l’époque, réunis. Que ce soit pour la tulipe au</w:t>
      </w:r>
      <w:r w:rsidR="00B37CFB">
        <w:rPr>
          <w:rFonts w:asciiTheme="minorHAnsi" w:hAnsiTheme="minorHAnsi" w:cstheme="minorHAnsi"/>
        </w:rPr>
        <w:t>x</w:t>
      </w:r>
      <w:r w:rsidRPr="003A5F5F">
        <w:rPr>
          <w:rFonts w:asciiTheme="minorHAnsi" w:hAnsiTheme="minorHAnsi" w:cstheme="minorHAnsi"/>
        </w:rPr>
        <w:t xml:space="preserve"> Pays-Bas au 17ème siècle, pour les start</w:t>
      </w:r>
      <w:r w:rsidR="00B37CFB">
        <w:rPr>
          <w:rFonts w:asciiTheme="minorHAnsi" w:hAnsiTheme="minorHAnsi" w:cstheme="minorHAnsi"/>
        </w:rPr>
        <w:t>-</w:t>
      </w:r>
      <w:r w:rsidRPr="003A5F5F">
        <w:rPr>
          <w:rFonts w:asciiTheme="minorHAnsi" w:hAnsiTheme="minorHAnsi" w:cstheme="minorHAnsi"/>
        </w:rPr>
        <w:t>up internet en 2001 ou même sur le marché immobilier américain en 2007, le mécanisme à l’œuvre dans la constitution d’une bulle est toujours le même : la valorisation d’un produit est déconnectée de sa valeur réelle et seule compte l’anticipation. Tout le monde est persuadé que le prix va continuer à monter, c’est le principe même d’une bulle.</w:t>
      </w:r>
    </w:p>
    <w:p w:rsidR="003A5F5F" w:rsidRPr="003A5F5F" w:rsidRDefault="003A5F5F" w:rsidP="003A5F5F">
      <w:pPr>
        <w:jc w:val="both"/>
        <w:rPr>
          <w:rFonts w:asciiTheme="minorHAnsi" w:hAnsiTheme="minorHAnsi" w:cstheme="minorHAnsi"/>
        </w:rPr>
      </w:pPr>
      <w:r w:rsidRPr="003A5F5F">
        <w:rPr>
          <w:rFonts w:asciiTheme="minorHAnsi" w:hAnsiTheme="minorHAnsi" w:cstheme="minorHAnsi"/>
        </w:rPr>
        <w:t>De la crise de la tulipe hollandaise jusqu'à la crise des subprimes en passant par la crise de 1929, les bulles économiques ont jalonné notre histoire. Depuis les années 70, le Fond Monétaire a inventorié 147 crises bancaires, 205 crashs monétaires et 7</w:t>
      </w:r>
      <w:r w:rsidR="00B37CFB">
        <w:rPr>
          <w:rFonts w:asciiTheme="minorHAnsi" w:hAnsiTheme="minorHAnsi" w:cstheme="minorHAnsi"/>
        </w:rPr>
        <w:t>2 crises de dettes souveraines.</w:t>
      </w:r>
    </w:p>
    <w:p w:rsidR="003A5F5F" w:rsidRDefault="003A5F5F" w:rsidP="003A5F5F">
      <w:pPr>
        <w:rPr>
          <w:rFonts w:asciiTheme="minorHAnsi" w:hAnsiTheme="minorHAnsi" w:cstheme="minorHAnsi"/>
        </w:rPr>
      </w:pPr>
    </w:p>
    <w:p w:rsidR="004D1EE7" w:rsidRPr="004D1EE7" w:rsidRDefault="004D1EE7" w:rsidP="004D1EE7">
      <w:pPr>
        <w:jc w:val="right"/>
        <w:rPr>
          <w:rFonts w:asciiTheme="minorHAnsi" w:hAnsiTheme="minorHAnsi" w:cstheme="minorHAnsi"/>
          <w:i/>
          <w:sz w:val="20"/>
          <w:szCs w:val="20"/>
        </w:rPr>
      </w:pPr>
      <w:r w:rsidRPr="004D1EE7">
        <w:rPr>
          <w:rFonts w:asciiTheme="minorHAnsi" w:hAnsiTheme="minorHAnsi" w:cstheme="minorHAnsi"/>
          <w:i/>
          <w:sz w:val="20"/>
          <w:szCs w:val="20"/>
        </w:rPr>
        <w:t xml:space="preserve">Sahida RIAZEHOUSSEN, 1637 : </w:t>
      </w:r>
      <w:hyperlink r:id="rId8" w:history="1">
        <w:r w:rsidRPr="004D1EE7">
          <w:rPr>
            <w:rStyle w:val="Lienhypertexte"/>
            <w:rFonts w:asciiTheme="minorHAnsi" w:hAnsiTheme="minorHAnsi" w:cstheme="minorHAnsi"/>
            <w:i/>
            <w:sz w:val="20"/>
            <w:szCs w:val="20"/>
          </w:rPr>
          <w:t>Le Krach des Tulipes</w:t>
        </w:r>
      </w:hyperlink>
      <w:r w:rsidRPr="004D1EE7">
        <w:rPr>
          <w:rFonts w:asciiTheme="minorHAnsi" w:hAnsiTheme="minorHAnsi" w:cstheme="minorHAnsi"/>
          <w:i/>
          <w:sz w:val="20"/>
          <w:szCs w:val="20"/>
        </w:rPr>
        <w:t xml:space="preserve"> - Novembre 2013</w:t>
      </w:r>
    </w:p>
    <w:p w:rsidR="003A5F5F" w:rsidRPr="009506F9" w:rsidRDefault="003A5F5F" w:rsidP="003A5F5F"/>
    <w:p w:rsidR="003C3DFD" w:rsidRDefault="004D1EE7" w:rsidP="004D1EE7">
      <w:pPr>
        <w:pStyle w:val="Paragraphedeliste"/>
        <w:widowControl w:val="0"/>
        <w:numPr>
          <w:ilvl w:val="0"/>
          <w:numId w:val="22"/>
        </w:numPr>
        <w:autoSpaceDE w:val="0"/>
        <w:autoSpaceDN w:val="0"/>
        <w:adjustRightInd w:val="0"/>
        <w:rPr>
          <w:rFonts w:ascii="Calibri" w:hAnsi="Calibri" w:cs="Calibri"/>
        </w:rPr>
      </w:pPr>
      <w:r>
        <w:rPr>
          <w:rFonts w:ascii="Calibri" w:hAnsi="Calibri" w:cs="Calibri"/>
        </w:rPr>
        <w:t>Pourquoi la tulipe est-elle un bien convoité ?</w:t>
      </w:r>
    </w:p>
    <w:p w:rsidR="00B37CFB" w:rsidRDefault="00B37CFB" w:rsidP="004D1EE7">
      <w:pPr>
        <w:pStyle w:val="Paragraphedeliste"/>
        <w:widowControl w:val="0"/>
        <w:numPr>
          <w:ilvl w:val="0"/>
          <w:numId w:val="22"/>
        </w:numPr>
        <w:autoSpaceDE w:val="0"/>
        <w:autoSpaceDN w:val="0"/>
        <w:adjustRightInd w:val="0"/>
        <w:rPr>
          <w:rFonts w:ascii="Calibri" w:hAnsi="Calibri" w:cs="Calibri"/>
        </w:rPr>
      </w:pPr>
      <w:r>
        <w:rPr>
          <w:rFonts w:ascii="Calibri" w:hAnsi="Calibri" w:cs="Calibri"/>
        </w:rPr>
        <w:t>Comment le bulbe de tulipe génère-t-il la première bulle financière ?</w:t>
      </w:r>
    </w:p>
    <w:p w:rsidR="003C3DFD" w:rsidRDefault="00B37CFB" w:rsidP="004D1EE7">
      <w:pPr>
        <w:pStyle w:val="Paragraphedeliste"/>
        <w:widowControl w:val="0"/>
        <w:numPr>
          <w:ilvl w:val="0"/>
          <w:numId w:val="22"/>
        </w:numPr>
        <w:autoSpaceDE w:val="0"/>
        <w:autoSpaceDN w:val="0"/>
        <w:adjustRightInd w:val="0"/>
        <w:rPr>
          <w:rFonts w:ascii="Calibri" w:hAnsi="Calibri" w:cs="Calibri"/>
        </w:rPr>
      </w:pPr>
      <w:r>
        <w:rPr>
          <w:rFonts w:ascii="Calibri" w:hAnsi="Calibri" w:cs="Calibri"/>
        </w:rPr>
        <w:t>Pour quelle raison cette bulle financière a-t-elle éclaté ?</w:t>
      </w:r>
    </w:p>
    <w:p w:rsidR="00B37CFB" w:rsidRPr="00F35289" w:rsidRDefault="00B37CFB" w:rsidP="004D1EE7">
      <w:pPr>
        <w:pStyle w:val="Paragraphedeliste"/>
        <w:widowControl w:val="0"/>
        <w:numPr>
          <w:ilvl w:val="0"/>
          <w:numId w:val="22"/>
        </w:numPr>
        <w:autoSpaceDE w:val="0"/>
        <w:autoSpaceDN w:val="0"/>
        <w:adjustRightInd w:val="0"/>
        <w:rPr>
          <w:rFonts w:ascii="Calibri" w:hAnsi="Calibri" w:cs="Calibri"/>
        </w:rPr>
      </w:pPr>
      <w:r>
        <w:rPr>
          <w:rFonts w:ascii="Calibri" w:hAnsi="Calibri" w:cs="Calibri"/>
        </w:rPr>
        <w:t>Pourriez-vous citer un bien réel qui aujourd’hui fait l’objet d’une spéculation financière ?</w:t>
      </w:r>
    </w:p>
    <w:p w:rsidR="00F35289" w:rsidRDefault="00F35289" w:rsidP="00F35289"/>
    <w:p w:rsidR="00BC10DE" w:rsidRDefault="00BC10DE" w:rsidP="00F35289"/>
    <w:p w:rsidR="00E61E55" w:rsidRPr="00C972C6" w:rsidRDefault="00E61E55" w:rsidP="00C972C6">
      <w:pPr>
        <w:rPr>
          <w:rFonts w:asciiTheme="minorHAnsi" w:hAnsiTheme="minorHAnsi" w:cstheme="minorHAnsi"/>
        </w:rPr>
      </w:pPr>
      <w:r w:rsidRPr="00C972C6">
        <w:rPr>
          <w:rFonts w:asciiTheme="minorHAnsi" w:hAnsiTheme="minorHAnsi" w:cstheme="minorHAnsi"/>
        </w:rPr>
        <w:t xml:space="preserve">Document </w:t>
      </w:r>
      <w:r w:rsidR="00BB097E" w:rsidRPr="00C972C6">
        <w:rPr>
          <w:rFonts w:asciiTheme="minorHAnsi" w:hAnsiTheme="minorHAnsi" w:cstheme="minorHAnsi"/>
        </w:rPr>
        <w:t>3</w:t>
      </w:r>
      <w:r w:rsidRPr="00C972C6">
        <w:rPr>
          <w:rFonts w:asciiTheme="minorHAnsi" w:hAnsiTheme="minorHAnsi" w:cstheme="minorHAnsi"/>
        </w:rPr>
        <w:t xml:space="preserve"> – </w:t>
      </w:r>
      <w:r w:rsidR="005A6789" w:rsidRPr="00C972C6">
        <w:rPr>
          <w:rFonts w:asciiTheme="minorHAnsi" w:hAnsiTheme="minorHAnsi" w:cstheme="minorHAnsi"/>
        </w:rPr>
        <w:t>Le moment Minsky</w:t>
      </w:r>
    </w:p>
    <w:p w:rsidR="00E61E55" w:rsidRPr="00BB097E" w:rsidRDefault="00E61E55" w:rsidP="00BB097E"/>
    <w:p w:rsidR="00BB097E" w:rsidRPr="005A6789" w:rsidRDefault="00BB097E" w:rsidP="00BB097E">
      <w:pPr>
        <w:jc w:val="both"/>
        <w:rPr>
          <w:sz w:val="20"/>
          <w:szCs w:val="20"/>
        </w:rPr>
      </w:pPr>
      <w:r w:rsidRPr="005A6789">
        <w:rPr>
          <w:sz w:val="20"/>
          <w:szCs w:val="20"/>
        </w:rPr>
        <w:t>Dans son ouvrage « Stabiliser une économie instable » Hyman P.Minsky distingue trois types d’opérations de crédit dans son chapitre traitant de la taxonomie des flux de trésorerie :</w:t>
      </w:r>
    </w:p>
    <w:p w:rsidR="00BB097E" w:rsidRPr="005A6789" w:rsidRDefault="00BB097E" w:rsidP="005A6789">
      <w:pPr>
        <w:pStyle w:val="Paragraphedeliste"/>
        <w:numPr>
          <w:ilvl w:val="0"/>
          <w:numId w:val="23"/>
        </w:numPr>
        <w:jc w:val="both"/>
        <w:rPr>
          <w:sz w:val="20"/>
          <w:szCs w:val="20"/>
        </w:rPr>
      </w:pPr>
      <w:r w:rsidRPr="005A6789">
        <w:rPr>
          <w:sz w:val="20"/>
          <w:szCs w:val="20"/>
        </w:rPr>
        <w:t>les crédits couverts par les flux de trésorerie (hedge finance). Il s’agit de l’archétype de la finance prudente pratiqués par les chefs d’entreprises qui dans leur plan de financement des investissements se sont assurés que les cash-flow générés par les actifs immobilisés permettront de couvrir les intérêts et les remboursement du principal (intermédiaires et terminal).Autant dire tout de suite que ce type de finance prudente ne génère pas une forte expansion du crédit car sa mise en œuvre est conditionnée par une rentabilité des capitaux investis nettement supérieure au coût du crédit à long terme. D’autre part, elle ne peut se développer que dans contexte de visibilité et de stabilité économique sinon la « hedge finance » peut rapidement se transformer en « speculative finance »</w:t>
      </w:r>
    </w:p>
    <w:p w:rsidR="00BB097E" w:rsidRPr="005A6789" w:rsidRDefault="00BB097E" w:rsidP="005A6789">
      <w:pPr>
        <w:pStyle w:val="Paragraphedeliste"/>
        <w:numPr>
          <w:ilvl w:val="0"/>
          <w:numId w:val="23"/>
        </w:numPr>
        <w:jc w:val="both"/>
        <w:rPr>
          <w:sz w:val="20"/>
          <w:szCs w:val="20"/>
        </w:rPr>
      </w:pPr>
      <w:r w:rsidRPr="005A6789">
        <w:rPr>
          <w:sz w:val="20"/>
          <w:szCs w:val="20"/>
        </w:rPr>
        <w:t xml:space="preserve">les crédits spéculatifs (spéculative finance). Dans ce cas, les flux de trésorerie générés par les actifs immobilisés peuvent à court terme ne pas couvrir les charges intermédiaires (intérêts et remboursements partiels du principal), bien que la rentabilité des capitaux investis ressorte à long terme comme supérieure au coût du crédit. Dans ce cas la valeur des actifs immobilisés permettra de dégager à l’issue du crédit un gain en capital destiné à couvrir les arriérés d’intérêts et le </w:t>
      </w:r>
      <w:r w:rsidRPr="005A6789">
        <w:rPr>
          <w:sz w:val="20"/>
          <w:szCs w:val="20"/>
        </w:rPr>
        <w:lastRenderedPageBreak/>
        <w:t xml:space="preserve">principal. […] D’une façon générale la « speculative finance » aboutit à refinancer une partie des engagements de paiement arrivés à échéance (intérêts et /ou remboursement partiels de principal) par une expansion de l’encours de crédit accordé en ayant recours à un refinancement à court terme de façon à en minimiser le coût. […] Le développement de la finance spéculative explique en partie mais pas seulement l’expansion des bilans des banques et des encours de titrisation. Il est à l’origine de l’instabilité endémique des marchés financiers et des économies elles-mêmes tant les positions spéculatives qui s’accumulent à l’occasion des politiques de relance économique s’opposent ultérieurement à toute tentative de normalisation monétaire sous la menace d’un effondrement des marchés financiers privés de leur source de refinancement bon marché à court terme. </w:t>
      </w:r>
      <w:r w:rsidR="005A6789" w:rsidRPr="005A6789">
        <w:rPr>
          <w:sz w:val="20"/>
          <w:szCs w:val="20"/>
        </w:rPr>
        <w:t>[…]</w:t>
      </w:r>
      <w:r w:rsidRPr="005A6789">
        <w:rPr>
          <w:sz w:val="20"/>
          <w:szCs w:val="20"/>
        </w:rPr>
        <w:t>.</w:t>
      </w:r>
    </w:p>
    <w:p w:rsidR="00BB097E" w:rsidRPr="005A6789" w:rsidRDefault="00BB097E" w:rsidP="005A6789">
      <w:pPr>
        <w:pStyle w:val="Paragraphedeliste"/>
        <w:numPr>
          <w:ilvl w:val="0"/>
          <w:numId w:val="23"/>
        </w:numPr>
        <w:jc w:val="both"/>
        <w:rPr>
          <w:sz w:val="20"/>
          <w:szCs w:val="20"/>
        </w:rPr>
      </w:pPr>
      <w:r w:rsidRPr="005A6789">
        <w:rPr>
          <w:sz w:val="20"/>
          <w:szCs w:val="20"/>
        </w:rPr>
        <w:t>les crédits à la Ponzi constituent la forme ultime de perversion du marché du crédit. Alors que les unités spéculatives construisent leur plan de financement en misant sur le fait que les gains en capital sur la cession des actifs immobilisés (totale ou partielle) permettront de rembourser le principal et les arriérés d’intérêts tout en dégageant une rentabilité globale de leurs immobilisations, les unités de Ponzi selon les termes de Minsky « prévoient d’honorer les engagements de paiement générés par les dettes au moyen du refinancement ou de l’accroissement des dettes ». Créance frauduleuse par excellence, contrepartie nullissime de la « fiat monnaie» le crédit à la Ponzi est conçu dès l’origine comme une dette irrécouvrable destinée à être reconduite indéfiniment. Il faut garder à l’esprit qu’un financement de type Ponzi se présente dès sa mise en place comme une opération d’extorsion de fonds perpétrée auprès de créanciers complices ou naïfs. Le financement de type Ponzi concerne le plus souvent le financement de projets d’infrastructure dont la rentabilité à long terme est faible voire nulle. Un cas emblématique des 30 dernières années a été le financement du projet de tunnel sous la Manche .D’une façon générale, hormis ces cas de financement d’infrastructure, les crédits de type Ponzi sont assez rares dans la sphère privé</w:t>
      </w:r>
      <w:r w:rsidR="005A6789" w:rsidRPr="005A6789">
        <w:rPr>
          <w:sz w:val="20"/>
          <w:szCs w:val="20"/>
        </w:rPr>
        <w:t>e</w:t>
      </w:r>
      <w:r w:rsidRPr="005A6789">
        <w:rPr>
          <w:sz w:val="20"/>
          <w:szCs w:val="20"/>
        </w:rPr>
        <w:t>. Mais il arrive souvent que les crédits de type spéculatif se transforment en crédit de type Ponzi à la suite d’un effondrement de la valorisation des actifs immobilisés.</w:t>
      </w:r>
    </w:p>
    <w:p w:rsidR="00BB097E" w:rsidRPr="005A6789" w:rsidRDefault="00BB097E" w:rsidP="005A6789">
      <w:pPr>
        <w:jc w:val="both"/>
        <w:rPr>
          <w:sz w:val="20"/>
          <w:szCs w:val="20"/>
        </w:rPr>
      </w:pPr>
      <w:r w:rsidRPr="005A6789">
        <w:rPr>
          <w:sz w:val="20"/>
          <w:szCs w:val="20"/>
        </w:rPr>
        <w:t>En revanche la sphère publique, en maintenant l’illusion de la solvabilité des Etats, s’est engagé depuis trente ans dans un mécanisme indiscutable de Ponzi en émettant une dette publique dont les charges d’intérêts ont été continuellement financées par des émissions de dettes nouvelles et le principal voué à une reconduction perpétuelle sans que ne soit jamais mis en place le moindre mécanisme d’amortissement. Ces dettes destinées principalement à financer les dépenses de fonctionnement des Etats n’ont été adossées à aucun actif immobilisé et leur valeur ne repose que sur la capacité des Etats à lever des impôts, laquelle dans une économie mondialisée s’avère de plus en plus fragile.</w:t>
      </w:r>
    </w:p>
    <w:p w:rsidR="00F478D6" w:rsidRPr="005A6789" w:rsidRDefault="005A6789" w:rsidP="005A6789">
      <w:pPr>
        <w:jc w:val="both"/>
        <w:rPr>
          <w:rFonts w:asciiTheme="minorHAnsi" w:hAnsiTheme="minorHAnsi" w:cstheme="minorHAnsi"/>
          <w:sz w:val="20"/>
          <w:szCs w:val="20"/>
        </w:rPr>
      </w:pPr>
      <w:r w:rsidRPr="005A6789">
        <w:rPr>
          <w:rFonts w:asciiTheme="minorHAnsi" w:hAnsiTheme="minorHAnsi" w:cstheme="minorHAnsi"/>
          <w:sz w:val="20"/>
          <w:szCs w:val="20"/>
        </w:rPr>
        <w:t>[…]</w:t>
      </w:r>
    </w:p>
    <w:p w:rsidR="005A6789" w:rsidRPr="005A6789" w:rsidRDefault="005A6789" w:rsidP="005A6789">
      <w:pPr>
        <w:jc w:val="both"/>
        <w:rPr>
          <w:rFonts w:asciiTheme="minorHAnsi" w:hAnsiTheme="minorHAnsi" w:cstheme="minorHAnsi"/>
          <w:sz w:val="20"/>
          <w:szCs w:val="20"/>
        </w:rPr>
      </w:pPr>
      <w:r w:rsidRPr="005A6789">
        <w:rPr>
          <w:rFonts w:asciiTheme="minorHAnsi" w:hAnsiTheme="minorHAnsi" w:cstheme="minorHAnsi"/>
          <w:sz w:val="20"/>
          <w:szCs w:val="20"/>
        </w:rPr>
        <w:t>Le Minsky moment procède de la remontée rapide de la rentabilité du capital à la suite du démarrage d’un nouveau cycle technologique de long terme. Dès lors, les capitaux investis dans la finance spéculative et la finance de Ponzi cherchent à se réorienter rapidement vers les opportunités d’investissement offertes par les nouvelles technologies dans le cadre d’une finance prudente délaissant les effets de leviers. La remontée de la rentabilité du capital rend sa prééminence à l’économie réelle et à la finance prudente et marginalise l’économie financière et la finance spéculative. Ce basculement ne peut se faire qu’au prix d’une réévaluation généralisée des créances et des actifs qui y sont adossés. Il se traduit par une violente remontée des taux longs compatible avec le nouveau régime de croissance économique et un effondrement des actions des entreprises ou des banques qui ont trop longtemps masqué leur baisse de rentabilité par la dégradation de leur bilan. Ce Minsky moment est donc un instant proprement schumpétérien de création destructrice non pas dans la sphère productive mais dans la sphère financière. Le krach boursier révèle alors la vraie valeur des choses. Le juste prix des actifs permet d’orienter de nouveau efficacement l’épargne vers les secteurs en expansion. Le vrai Minsky moment est donc le point de départ d’un nouveau cycle long de type Kondratieff entrainant la disparition des organisations financières et industrielles anciennes dont les ratios bilanciels sont trop déséquilibrés pour faire place aux nouvelles structures porteuses de générations de cash-flow récurrents.</w:t>
      </w:r>
    </w:p>
    <w:p w:rsidR="00F35289" w:rsidRDefault="00F35289" w:rsidP="005547BE">
      <w:pPr>
        <w:pStyle w:val="Sansinterligne"/>
      </w:pPr>
    </w:p>
    <w:p w:rsidR="005A6789" w:rsidRPr="000C32DB" w:rsidRDefault="005A6789" w:rsidP="000C32DB">
      <w:pPr>
        <w:jc w:val="right"/>
        <w:rPr>
          <w:rFonts w:asciiTheme="minorHAnsi" w:hAnsiTheme="minorHAnsi" w:cstheme="minorHAnsi"/>
          <w:i/>
          <w:sz w:val="20"/>
          <w:szCs w:val="20"/>
        </w:rPr>
      </w:pPr>
      <w:r w:rsidRPr="000C32DB">
        <w:rPr>
          <w:rFonts w:asciiTheme="minorHAnsi" w:hAnsiTheme="minorHAnsi" w:cstheme="minorHAnsi"/>
          <w:i/>
          <w:sz w:val="20"/>
          <w:szCs w:val="20"/>
        </w:rPr>
        <w:t xml:space="preserve">Jean-Jacques Martin, </w:t>
      </w:r>
      <w:hyperlink r:id="rId9" w:history="1">
        <w:r w:rsidRPr="000C32DB">
          <w:rPr>
            <w:rStyle w:val="Lienhypertexte"/>
            <w:rFonts w:asciiTheme="minorHAnsi" w:hAnsiTheme="minorHAnsi" w:cstheme="minorHAnsi"/>
            <w:i/>
            <w:sz w:val="20"/>
            <w:szCs w:val="20"/>
          </w:rPr>
          <w:t>“A Minsky moment” ou la revanche de l’économie réelle</w:t>
        </w:r>
      </w:hyperlink>
      <w:r w:rsidR="000C32DB" w:rsidRPr="000C32DB">
        <w:rPr>
          <w:rFonts w:asciiTheme="minorHAnsi" w:hAnsiTheme="minorHAnsi" w:cstheme="minorHAnsi"/>
          <w:i/>
          <w:sz w:val="20"/>
          <w:szCs w:val="20"/>
        </w:rPr>
        <w:t>, Institut des Libertés, 26 Septembr</w:t>
      </w:r>
      <w:r w:rsidR="0028024B">
        <w:rPr>
          <w:rFonts w:asciiTheme="minorHAnsi" w:hAnsiTheme="minorHAnsi" w:cstheme="minorHAnsi"/>
          <w:i/>
          <w:sz w:val="20"/>
          <w:szCs w:val="20"/>
        </w:rPr>
        <w:t>e</w:t>
      </w:r>
      <w:r w:rsidR="000C32DB" w:rsidRPr="000C32DB">
        <w:rPr>
          <w:rFonts w:asciiTheme="minorHAnsi" w:hAnsiTheme="minorHAnsi" w:cstheme="minorHAnsi"/>
          <w:i/>
          <w:sz w:val="20"/>
          <w:szCs w:val="20"/>
        </w:rPr>
        <w:t>, 2018</w:t>
      </w:r>
    </w:p>
    <w:p w:rsidR="005A6789" w:rsidRPr="00F478D6" w:rsidRDefault="005A6789" w:rsidP="005547BE">
      <w:pPr>
        <w:pStyle w:val="Sansinterligne"/>
      </w:pPr>
    </w:p>
    <w:p w:rsidR="00F35289" w:rsidRDefault="00F35289" w:rsidP="00F35289"/>
    <w:p w:rsidR="00F35289" w:rsidRDefault="000C32DB" w:rsidP="00F35289">
      <w:pPr>
        <w:pStyle w:val="Paragraphedeliste"/>
        <w:widowControl w:val="0"/>
        <w:numPr>
          <w:ilvl w:val="0"/>
          <w:numId w:val="9"/>
        </w:numPr>
        <w:autoSpaceDE w:val="0"/>
        <w:autoSpaceDN w:val="0"/>
        <w:adjustRightInd w:val="0"/>
        <w:rPr>
          <w:rFonts w:ascii="Calibri" w:hAnsi="Calibri" w:cs="Calibri"/>
        </w:rPr>
      </w:pPr>
      <w:r>
        <w:rPr>
          <w:rFonts w:ascii="Calibri" w:hAnsi="Calibri" w:cs="Calibri"/>
        </w:rPr>
        <w:t>Qu’est-ce que la « hedge finance » ?</w:t>
      </w:r>
    </w:p>
    <w:p w:rsidR="00975849" w:rsidRPr="00F35289" w:rsidRDefault="000C32DB" w:rsidP="00975849">
      <w:pPr>
        <w:pStyle w:val="Paragraphedeliste"/>
        <w:widowControl w:val="0"/>
        <w:numPr>
          <w:ilvl w:val="0"/>
          <w:numId w:val="9"/>
        </w:numPr>
        <w:autoSpaceDE w:val="0"/>
        <w:autoSpaceDN w:val="0"/>
        <w:adjustRightInd w:val="0"/>
        <w:rPr>
          <w:rFonts w:ascii="Calibri" w:hAnsi="Calibri" w:cs="Calibri"/>
        </w:rPr>
      </w:pPr>
      <w:r>
        <w:rPr>
          <w:rFonts w:ascii="Calibri" w:hAnsi="Calibri" w:cs="Calibri"/>
        </w:rPr>
        <w:t>Qu’est-ce que la « speculative finance » ?</w:t>
      </w:r>
    </w:p>
    <w:p w:rsidR="00975849" w:rsidRDefault="000C32DB" w:rsidP="00F35289">
      <w:pPr>
        <w:pStyle w:val="Paragraphedeliste"/>
        <w:widowControl w:val="0"/>
        <w:numPr>
          <w:ilvl w:val="0"/>
          <w:numId w:val="9"/>
        </w:numPr>
        <w:autoSpaceDE w:val="0"/>
        <w:autoSpaceDN w:val="0"/>
        <w:adjustRightInd w:val="0"/>
        <w:rPr>
          <w:rFonts w:ascii="Calibri" w:hAnsi="Calibri" w:cs="Calibri"/>
        </w:rPr>
      </w:pPr>
      <w:r>
        <w:rPr>
          <w:rFonts w:ascii="Calibri" w:hAnsi="Calibri" w:cs="Calibri"/>
        </w:rPr>
        <w:t>Qu’est-ce que le crédit à la Ponzi</w:t>
      </w:r>
    </w:p>
    <w:p w:rsidR="00AD251C" w:rsidRDefault="000C32DB" w:rsidP="00F35289">
      <w:pPr>
        <w:pStyle w:val="Paragraphedeliste"/>
        <w:widowControl w:val="0"/>
        <w:numPr>
          <w:ilvl w:val="0"/>
          <w:numId w:val="9"/>
        </w:numPr>
        <w:autoSpaceDE w:val="0"/>
        <w:autoSpaceDN w:val="0"/>
        <w:adjustRightInd w:val="0"/>
        <w:rPr>
          <w:rFonts w:ascii="Calibri" w:hAnsi="Calibri" w:cs="Calibri"/>
        </w:rPr>
      </w:pPr>
      <w:r>
        <w:rPr>
          <w:rFonts w:ascii="Calibri" w:hAnsi="Calibri" w:cs="Calibri"/>
        </w:rPr>
        <w:t>Qu’est-ce que le moment Minsky</w:t>
      </w:r>
      <w:r w:rsidR="00AD251C">
        <w:rPr>
          <w:rFonts w:ascii="Calibri" w:hAnsi="Calibri" w:cs="Calibri"/>
        </w:rPr>
        <w:t> ?</w:t>
      </w:r>
    </w:p>
    <w:p w:rsidR="000C32DB" w:rsidRPr="00F35289" w:rsidRDefault="000C32DB" w:rsidP="00F35289">
      <w:pPr>
        <w:pStyle w:val="Paragraphedeliste"/>
        <w:widowControl w:val="0"/>
        <w:numPr>
          <w:ilvl w:val="0"/>
          <w:numId w:val="9"/>
        </w:numPr>
        <w:autoSpaceDE w:val="0"/>
        <w:autoSpaceDN w:val="0"/>
        <w:adjustRightInd w:val="0"/>
        <w:rPr>
          <w:rFonts w:ascii="Calibri" w:hAnsi="Calibri" w:cs="Calibri"/>
        </w:rPr>
      </w:pPr>
      <w:r>
        <w:rPr>
          <w:rFonts w:ascii="Calibri" w:hAnsi="Calibri" w:cs="Calibri"/>
        </w:rPr>
        <w:t>Comment l’auteur du texte l’explique-t-il ?</w:t>
      </w:r>
    </w:p>
    <w:p w:rsidR="00AF484D" w:rsidRDefault="00AF484D" w:rsidP="005547BE">
      <w:pPr>
        <w:pStyle w:val="Sansinterligne"/>
      </w:pPr>
    </w:p>
    <w:p w:rsidR="00AF484D" w:rsidRDefault="00AF484D" w:rsidP="005547BE">
      <w:pPr>
        <w:pStyle w:val="Sansinterligne"/>
      </w:pPr>
    </w:p>
    <w:p w:rsidR="00BC10DE" w:rsidRDefault="00BC10DE">
      <w:pPr>
        <w:spacing w:after="200" w:line="276" w:lineRule="auto"/>
        <w:rPr>
          <w:rFonts w:asciiTheme="minorHAnsi" w:hAnsiTheme="minorHAnsi" w:cstheme="minorHAnsi"/>
        </w:rPr>
      </w:pPr>
      <w:r>
        <w:rPr>
          <w:rFonts w:asciiTheme="minorHAnsi" w:hAnsiTheme="minorHAnsi" w:cstheme="minorHAnsi"/>
        </w:rPr>
        <w:br w:type="page"/>
      </w:r>
    </w:p>
    <w:p w:rsidR="00BC10DE" w:rsidRDefault="00BC10DE" w:rsidP="00BC10DE">
      <w:pPr>
        <w:rPr>
          <w:rFonts w:asciiTheme="minorHAnsi" w:hAnsiTheme="minorHAnsi" w:cstheme="minorHAnsi"/>
        </w:rPr>
      </w:pPr>
      <w:r w:rsidRPr="00AF484D">
        <w:rPr>
          <w:rFonts w:asciiTheme="minorHAnsi" w:hAnsiTheme="minorHAnsi" w:cstheme="minorHAnsi"/>
        </w:rPr>
        <w:lastRenderedPageBreak/>
        <w:t>Document</w:t>
      </w:r>
      <w:r>
        <w:rPr>
          <w:rFonts w:asciiTheme="minorHAnsi" w:hAnsiTheme="minorHAnsi" w:cstheme="minorHAnsi"/>
        </w:rPr>
        <w:t xml:space="preserve"> 4</w:t>
      </w:r>
      <w:r w:rsidRPr="00AF484D">
        <w:rPr>
          <w:rFonts w:asciiTheme="minorHAnsi" w:hAnsiTheme="minorHAnsi" w:cstheme="minorHAnsi"/>
        </w:rPr>
        <w:t xml:space="preserve"> – </w:t>
      </w:r>
      <w:r>
        <w:rPr>
          <w:rFonts w:asciiTheme="minorHAnsi" w:hAnsiTheme="minorHAnsi" w:cstheme="minorHAnsi"/>
        </w:rPr>
        <w:t>Évolution de l’indice Dow Jones</w:t>
      </w:r>
      <w:r w:rsidRPr="00AF484D">
        <w:rPr>
          <w:rFonts w:asciiTheme="minorHAnsi" w:hAnsiTheme="minorHAnsi" w:cstheme="minorHAnsi"/>
        </w:rPr>
        <w:t xml:space="preserve"> aux </w:t>
      </w:r>
      <w:r>
        <w:rPr>
          <w:rFonts w:asciiTheme="minorHAnsi" w:hAnsiTheme="minorHAnsi" w:cstheme="minorHAnsi"/>
        </w:rPr>
        <w:t>É</w:t>
      </w:r>
      <w:r w:rsidRPr="00AF484D">
        <w:rPr>
          <w:rFonts w:asciiTheme="minorHAnsi" w:hAnsiTheme="minorHAnsi" w:cstheme="minorHAnsi"/>
        </w:rPr>
        <w:t>tats-Unis</w:t>
      </w:r>
      <w:r w:rsidR="00E327EC">
        <w:rPr>
          <w:rFonts w:asciiTheme="minorHAnsi" w:hAnsiTheme="minorHAnsi" w:cstheme="minorHAnsi"/>
        </w:rPr>
        <w:t xml:space="preserve"> (corrigé de l’inflation)</w:t>
      </w:r>
    </w:p>
    <w:p w:rsidR="0028024B" w:rsidRDefault="0028024B" w:rsidP="005547BE">
      <w:pPr>
        <w:pStyle w:val="Sansinterligne"/>
      </w:pPr>
    </w:p>
    <w:p w:rsidR="00BC10DE" w:rsidRDefault="00CC1484" w:rsidP="005547BE">
      <w:pPr>
        <w:pStyle w:val="Sansinterligne"/>
      </w:pPr>
      <w:r>
        <w:t>(échelle logarithmique)</w:t>
      </w:r>
    </w:p>
    <w:p w:rsidR="00AF484D" w:rsidRDefault="003C7030" w:rsidP="005547BE">
      <w:pPr>
        <w:pStyle w:val="Sansinterligne"/>
      </w:pPr>
      <w:r>
        <w:pict>
          <v:shapetype id="_x0000_t202" coordsize="21600,21600" o:spt="202" path="m,l,21600r21600,l21600,xe">
            <v:stroke joinstyle="miter"/>
            <v:path gradientshapeok="t" o:connecttype="rect"/>
          </v:shapetype>
          <v:shape id="_x0000_s1029" type="#_x0000_t202" style="position:absolute;margin-left:396.5pt;margin-top:8.45pt;width:105.5pt;height:17.65pt;z-index:251661312">
            <v:textbox style="mso-next-textbox:#_x0000_s1029">
              <w:txbxContent>
                <w:p w:rsidR="00065A3F" w:rsidRPr="00BC10DE" w:rsidRDefault="00065A3F" w:rsidP="00BC10DE">
                  <w:pPr>
                    <w:rPr>
                      <w:rFonts w:asciiTheme="minorHAnsi" w:hAnsiTheme="minorHAnsi" w:cstheme="minorHAnsi"/>
                      <w:sz w:val="16"/>
                      <w:szCs w:val="16"/>
                    </w:rPr>
                  </w:pPr>
                  <w:r w:rsidRPr="00BC10DE">
                    <w:rPr>
                      <w:rFonts w:asciiTheme="minorHAnsi" w:hAnsiTheme="minorHAnsi" w:cstheme="minorHAnsi"/>
                      <w:sz w:val="16"/>
                      <w:szCs w:val="16"/>
                    </w:rPr>
                    <w:t>Août 192</w:t>
                  </w:r>
                  <w:r>
                    <w:rPr>
                      <w:rFonts w:asciiTheme="minorHAnsi" w:hAnsiTheme="minorHAnsi" w:cstheme="minorHAnsi"/>
                      <w:sz w:val="16"/>
                      <w:szCs w:val="16"/>
                    </w:rPr>
                    <w:t>9 (valeur = 5640)</w:t>
                  </w:r>
                </w:p>
              </w:txbxContent>
            </v:textbox>
          </v:shape>
        </w:pict>
      </w:r>
      <w:r>
        <w:pict>
          <v:shape id="_x0000_s1028" type="#_x0000_t202" style="position:absolute;margin-left:2in;margin-top:282.3pt;width:100.5pt;height:17.15pt;z-index:251660288">
            <v:textbox style="mso-next-textbox:#_x0000_s1028">
              <w:txbxContent>
                <w:p w:rsidR="00065A3F" w:rsidRPr="00BC10DE" w:rsidRDefault="00065A3F">
                  <w:pPr>
                    <w:rPr>
                      <w:rFonts w:asciiTheme="minorHAnsi" w:hAnsiTheme="minorHAnsi" w:cstheme="minorHAnsi"/>
                      <w:sz w:val="16"/>
                      <w:szCs w:val="16"/>
                    </w:rPr>
                  </w:pPr>
                  <w:r w:rsidRPr="00BC10DE">
                    <w:rPr>
                      <w:rFonts w:asciiTheme="minorHAnsi" w:hAnsiTheme="minorHAnsi" w:cstheme="minorHAnsi"/>
                      <w:sz w:val="16"/>
                      <w:szCs w:val="16"/>
                    </w:rPr>
                    <w:t>Août 1921</w:t>
                  </w:r>
                  <w:r>
                    <w:rPr>
                      <w:rFonts w:asciiTheme="minorHAnsi" w:hAnsiTheme="minorHAnsi" w:cstheme="minorHAnsi"/>
                      <w:sz w:val="16"/>
                      <w:szCs w:val="16"/>
                    </w:rPr>
                    <w:t xml:space="preserve"> (valeur = 970)</w:t>
                  </w:r>
                </w:p>
              </w:txbxContent>
            </v:textbox>
          </v:shape>
        </w:pict>
      </w:r>
      <w:r>
        <w:pict>
          <v:shape id="_x0000_s1031" type="#_x0000_t202" style="position:absolute;margin-left:367.5pt;margin-top:288.65pt;width:99.4pt;height:17.65pt;z-index:251663360">
            <v:textbox style="mso-next-textbox:#_x0000_s1031">
              <w:txbxContent>
                <w:p w:rsidR="00065A3F" w:rsidRPr="00BC10DE" w:rsidRDefault="00065A3F" w:rsidP="006C44E6">
                  <w:pPr>
                    <w:rPr>
                      <w:rFonts w:asciiTheme="minorHAnsi" w:hAnsiTheme="minorHAnsi" w:cstheme="minorHAnsi"/>
                      <w:sz w:val="16"/>
                      <w:szCs w:val="16"/>
                    </w:rPr>
                  </w:pPr>
                  <w:r>
                    <w:rPr>
                      <w:rFonts w:asciiTheme="minorHAnsi" w:hAnsiTheme="minorHAnsi" w:cstheme="minorHAnsi"/>
                      <w:sz w:val="16"/>
                      <w:szCs w:val="16"/>
                    </w:rPr>
                    <w:t>Juin 1932 (valeur = 810)</w:t>
                  </w:r>
                </w:p>
              </w:txbxContent>
            </v:textbox>
          </v:shape>
        </w:pict>
      </w:r>
      <w:r>
        <w:pict>
          <v:oval id="_x0000_s1030" style="position:absolute;margin-left:470.5pt;margin-top:303.3pt;width:11pt;height:11pt;z-index:251662336" filled="f" strokeweight="2.25pt"/>
        </w:pict>
      </w:r>
      <w:r>
        <w:pict>
          <v:oval id="_x0000_s1027" style="position:absolute;margin-left:382pt;margin-top:8.45pt;width:11pt;height:11pt;z-index:251659264" filled="f" strokeweight="2.25pt"/>
        </w:pict>
      </w:r>
      <w:r>
        <w:pict>
          <v:oval id="_x0000_s1026" style="position:absolute;margin-left:133pt;margin-top:273.95pt;width:11pt;height:11pt;z-index:251658240" filled="f" strokeweight="2.25pt"/>
        </w:pict>
      </w:r>
      <w:r w:rsidR="00AF484D">
        <w:drawing>
          <wp:inline distT="0" distB="0" distL="0" distR="0">
            <wp:extent cx="6645910" cy="4173305"/>
            <wp:effectExtent l="19050" t="0" r="254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45910" cy="4173305"/>
                    </a:xfrm>
                    <a:prstGeom prst="rect">
                      <a:avLst/>
                    </a:prstGeom>
                    <a:noFill/>
                    <a:ln w="9525">
                      <a:noFill/>
                      <a:miter lim="800000"/>
                      <a:headEnd/>
                      <a:tailEnd/>
                    </a:ln>
                  </pic:spPr>
                </pic:pic>
              </a:graphicData>
            </a:graphic>
          </wp:inline>
        </w:drawing>
      </w:r>
    </w:p>
    <w:p w:rsidR="00AF484D" w:rsidRPr="00BC10DE" w:rsidRDefault="003C7030" w:rsidP="00BC10DE">
      <w:pPr>
        <w:jc w:val="right"/>
        <w:rPr>
          <w:i/>
        </w:rPr>
      </w:pPr>
      <w:hyperlink r:id="rId11" w:history="1">
        <w:r w:rsidR="00BC10DE" w:rsidRPr="00BC10DE">
          <w:rPr>
            <w:rStyle w:val="Lienhypertexte"/>
            <w:i/>
          </w:rPr>
          <w:t>Macrotrends</w:t>
        </w:r>
      </w:hyperlink>
    </w:p>
    <w:p w:rsidR="00C972C6" w:rsidRDefault="00C972C6" w:rsidP="005547BE">
      <w:pPr>
        <w:pStyle w:val="Sansinterligne"/>
      </w:pPr>
    </w:p>
    <w:p w:rsidR="00BC10DE" w:rsidRPr="00C972C6" w:rsidRDefault="0028024B" w:rsidP="00C972C6">
      <w:pPr>
        <w:jc w:val="both"/>
        <w:rPr>
          <w:rFonts w:asciiTheme="minorHAnsi" w:hAnsiTheme="minorHAnsi" w:cstheme="minorHAnsi"/>
          <w:sz w:val="16"/>
          <w:szCs w:val="16"/>
        </w:rPr>
      </w:pPr>
      <w:r w:rsidRPr="00C972C6">
        <w:rPr>
          <w:rFonts w:asciiTheme="minorHAnsi" w:hAnsiTheme="minorHAnsi" w:cstheme="minorHAnsi"/>
          <w:sz w:val="16"/>
          <w:szCs w:val="16"/>
        </w:rPr>
        <w:t>Le Dow Jones Industrial Average ou Dow Jones est un indice boursier américain. Il est présent à la bourse de New York, Wall street, et est le plus vieil indice boursier au monde. Il a été créé en 1896 par Charles Dow et Edward Jones. Il représente 30 des plus importantes entreprises américaines et il est pondéré sur la valeur des actions des entreprises qui le compose. La cotation par la valeur des actions, sans prise en compte de la capitalisation boursière des entreprises cotées, est unique au Dow Jones et au Nikkei 225</w:t>
      </w:r>
    </w:p>
    <w:p w:rsidR="0028024B" w:rsidRPr="00C972C6" w:rsidRDefault="0028024B" w:rsidP="00C972C6"/>
    <w:p w:rsidR="0028024B" w:rsidRPr="00C972C6" w:rsidRDefault="0028024B" w:rsidP="00C972C6"/>
    <w:p w:rsidR="006C44E6" w:rsidRPr="00C972C6" w:rsidRDefault="006C44E6" w:rsidP="00C972C6">
      <w:pPr>
        <w:pStyle w:val="Paragraphedeliste"/>
        <w:numPr>
          <w:ilvl w:val="0"/>
          <w:numId w:val="32"/>
        </w:numPr>
      </w:pPr>
      <w:r w:rsidRPr="00C972C6">
        <w:t>Qu’est-ce que l’indice Dow Jones ?</w:t>
      </w:r>
    </w:p>
    <w:p w:rsidR="00BC10DE" w:rsidRPr="00C972C6" w:rsidRDefault="006C44E6" w:rsidP="00C972C6">
      <w:pPr>
        <w:pStyle w:val="Paragraphedeliste"/>
        <w:numPr>
          <w:ilvl w:val="0"/>
          <w:numId w:val="32"/>
        </w:numPr>
      </w:pPr>
      <w:r w:rsidRPr="00C972C6">
        <w:t>Mesurez l’évolution de l’indice Dow Jones entre août 1921 et août 1929.</w:t>
      </w:r>
    </w:p>
    <w:p w:rsidR="006C44E6" w:rsidRPr="00C972C6" w:rsidRDefault="006C44E6" w:rsidP="00C972C6">
      <w:pPr>
        <w:pStyle w:val="Paragraphedeliste"/>
        <w:numPr>
          <w:ilvl w:val="0"/>
          <w:numId w:val="32"/>
        </w:numPr>
      </w:pPr>
      <w:r w:rsidRPr="00C972C6">
        <w:t>Mesurez l’évolution de l’indice Dow Jones entre août 1929 et juin 1932.</w:t>
      </w:r>
    </w:p>
    <w:p w:rsidR="006C44E6" w:rsidRPr="00C972C6" w:rsidRDefault="006C44E6" w:rsidP="00C972C6">
      <w:pPr>
        <w:pStyle w:val="Paragraphedeliste"/>
        <w:numPr>
          <w:ilvl w:val="0"/>
          <w:numId w:val="32"/>
        </w:numPr>
      </w:pPr>
      <w:r w:rsidRPr="00C972C6">
        <w:t>Comment qualifier cette dernière période ?</w:t>
      </w:r>
    </w:p>
    <w:p w:rsidR="00BC10DE" w:rsidRDefault="00BC10DE" w:rsidP="005547BE">
      <w:pPr>
        <w:pStyle w:val="Sansinterligne"/>
      </w:pPr>
    </w:p>
    <w:p w:rsidR="00CC1484" w:rsidRDefault="00CC1484" w:rsidP="005547BE">
      <w:pPr>
        <w:pStyle w:val="Sansinterligne"/>
      </w:pPr>
    </w:p>
    <w:p w:rsidR="003A0976" w:rsidRDefault="003A0976">
      <w:pPr>
        <w:spacing w:after="200" w:line="276" w:lineRule="auto"/>
        <w:rPr>
          <w:rFonts w:asciiTheme="minorHAnsi" w:hAnsiTheme="minorHAnsi" w:cstheme="minorHAnsi"/>
        </w:rPr>
      </w:pPr>
      <w:r>
        <w:rPr>
          <w:rFonts w:asciiTheme="minorHAnsi" w:hAnsiTheme="minorHAnsi" w:cstheme="minorHAnsi"/>
        </w:rPr>
        <w:br w:type="page"/>
      </w:r>
    </w:p>
    <w:p w:rsidR="00144F6E" w:rsidRDefault="00144F6E" w:rsidP="00144F6E">
      <w:pPr>
        <w:rPr>
          <w:rFonts w:asciiTheme="minorHAnsi" w:hAnsiTheme="minorHAnsi" w:cstheme="minorHAnsi"/>
        </w:rPr>
      </w:pPr>
      <w:r w:rsidRPr="00AF484D">
        <w:rPr>
          <w:rFonts w:asciiTheme="minorHAnsi" w:hAnsiTheme="minorHAnsi" w:cstheme="minorHAnsi"/>
        </w:rPr>
        <w:lastRenderedPageBreak/>
        <w:t>Document</w:t>
      </w:r>
      <w:r>
        <w:rPr>
          <w:rFonts w:asciiTheme="minorHAnsi" w:hAnsiTheme="minorHAnsi" w:cstheme="minorHAnsi"/>
        </w:rPr>
        <w:t xml:space="preserve"> 5</w:t>
      </w:r>
      <w:r w:rsidRPr="00AF484D">
        <w:rPr>
          <w:rFonts w:asciiTheme="minorHAnsi" w:hAnsiTheme="minorHAnsi" w:cstheme="minorHAnsi"/>
        </w:rPr>
        <w:t xml:space="preserve"> – </w:t>
      </w:r>
      <w:r>
        <w:rPr>
          <w:rFonts w:asciiTheme="minorHAnsi" w:hAnsiTheme="minorHAnsi" w:cstheme="minorHAnsi"/>
        </w:rPr>
        <w:t xml:space="preserve">Les call loans dans les années 1920 </w:t>
      </w:r>
      <w:r w:rsidRPr="00AF484D">
        <w:rPr>
          <w:rFonts w:asciiTheme="minorHAnsi" w:hAnsiTheme="minorHAnsi" w:cstheme="minorHAnsi"/>
        </w:rPr>
        <w:t xml:space="preserve">aux </w:t>
      </w:r>
      <w:r>
        <w:rPr>
          <w:rFonts w:asciiTheme="minorHAnsi" w:hAnsiTheme="minorHAnsi" w:cstheme="minorHAnsi"/>
        </w:rPr>
        <w:t>É</w:t>
      </w:r>
      <w:r w:rsidRPr="00AF484D">
        <w:rPr>
          <w:rFonts w:asciiTheme="minorHAnsi" w:hAnsiTheme="minorHAnsi" w:cstheme="minorHAnsi"/>
        </w:rPr>
        <w:t>tats-Unis</w:t>
      </w:r>
    </w:p>
    <w:p w:rsidR="00144F6E" w:rsidRPr="003A0976" w:rsidRDefault="00144F6E" w:rsidP="003A0976"/>
    <w:p w:rsidR="00CC1484" w:rsidRPr="00CC1484" w:rsidRDefault="00CC1484" w:rsidP="00144F6E">
      <w:pPr>
        <w:jc w:val="both"/>
        <w:rPr>
          <w:rFonts w:asciiTheme="minorHAnsi" w:hAnsiTheme="minorHAnsi" w:cstheme="minorHAnsi"/>
        </w:rPr>
      </w:pPr>
      <w:r w:rsidRPr="00CC1484">
        <w:rPr>
          <w:rFonts w:asciiTheme="minorHAnsi" w:hAnsiTheme="minorHAnsi" w:cstheme="minorHAnsi"/>
        </w:rPr>
        <w:t>L'évolution des montants des call loans (prêts à court terme) par les brokers, montre l'ampleur de spéculation et le gonflement de la bulle :</w:t>
      </w:r>
    </w:p>
    <w:p w:rsidR="00CC1484" w:rsidRPr="00144F6E" w:rsidRDefault="00CC1484" w:rsidP="00144F6E">
      <w:pPr>
        <w:pStyle w:val="Paragraphedeliste"/>
        <w:numPr>
          <w:ilvl w:val="0"/>
          <w:numId w:val="26"/>
        </w:numPr>
        <w:jc w:val="both"/>
        <w:rPr>
          <w:rFonts w:asciiTheme="minorHAnsi" w:hAnsiTheme="minorHAnsi" w:cstheme="minorHAnsi"/>
        </w:rPr>
      </w:pPr>
      <w:r w:rsidRPr="00144F6E">
        <w:rPr>
          <w:rFonts w:asciiTheme="minorHAnsi" w:hAnsiTheme="minorHAnsi" w:cstheme="minorHAnsi"/>
        </w:rPr>
        <w:t>1923                      1,0 milliards de $</w:t>
      </w:r>
    </w:p>
    <w:p w:rsidR="00144F6E" w:rsidRPr="00144F6E" w:rsidRDefault="00CC1484" w:rsidP="00144F6E">
      <w:pPr>
        <w:pStyle w:val="Paragraphedeliste"/>
        <w:numPr>
          <w:ilvl w:val="0"/>
          <w:numId w:val="26"/>
        </w:numPr>
        <w:jc w:val="both"/>
        <w:rPr>
          <w:rFonts w:asciiTheme="minorHAnsi" w:hAnsiTheme="minorHAnsi" w:cstheme="minorHAnsi"/>
        </w:rPr>
      </w:pPr>
      <w:r w:rsidRPr="00144F6E">
        <w:rPr>
          <w:rFonts w:asciiTheme="minorHAnsi" w:hAnsiTheme="minorHAnsi" w:cstheme="minorHAnsi"/>
        </w:rPr>
        <w:t xml:space="preserve">1924                      1,5 milliards de $ </w:t>
      </w:r>
    </w:p>
    <w:p w:rsidR="00144F6E" w:rsidRPr="00144F6E" w:rsidRDefault="00CC1484" w:rsidP="00144F6E">
      <w:pPr>
        <w:pStyle w:val="Paragraphedeliste"/>
        <w:numPr>
          <w:ilvl w:val="0"/>
          <w:numId w:val="26"/>
        </w:numPr>
        <w:jc w:val="both"/>
        <w:rPr>
          <w:rFonts w:asciiTheme="minorHAnsi" w:hAnsiTheme="minorHAnsi" w:cstheme="minorHAnsi"/>
        </w:rPr>
      </w:pPr>
      <w:r w:rsidRPr="00144F6E">
        <w:rPr>
          <w:rFonts w:asciiTheme="minorHAnsi" w:hAnsiTheme="minorHAnsi" w:cstheme="minorHAnsi"/>
        </w:rPr>
        <w:t xml:space="preserve">Fin 1927        </w:t>
      </w:r>
      <w:r w:rsidR="00197CF0">
        <w:rPr>
          <w:rFonts w:asciiTheme="minorHAnsi" w:hAnsiTheme="minorHAnsi" w:cstheme="minorHAnsi"/>
        </w:rPr>
        <w:t xml:space="preserve"> </w:t>
      </w:r>
      <w:r w:rsidRPr="00144F6E">
        <w:rPr>
          <w:rFonts w:asciiTheme="minorHAnsi" w:hAnsiTheme="minorHAnsi" w:cstheme="minorHAnsi"/>
        </w:rPr>
        <w:t xml:space="preserve">      3,5 milliards de $ </w:t>
      </w:r>
    </w:p>
    <w:p w:rsidR="00144F6E" w:rsidRPr="00144F6E" w:rsidRDefault="00CC1484" w:rsidP="00144F6E">
      <w:pPr>
        <w:pStyle w:val="Paragraphedeliste"/>
        <w:numPr>
          <w:ilvl w:val="0"/>
          <w:numId w:val="26"/>
        </w:numPr>
        <w:jc w:val="both"/>
        <w:rPr>
          <w:rFonts w:asciiTheme="minorHAnsi" w:hAnsiTheme="minorHAnsi" w:cstheme="minorHAnsi"/>
        </w:rPr>
      </w:pPr>
      <w:r w:rsidRPr="00144F6E">
        <w:rPr>
          <w:rFonts w:asciiTheme="minorHAnsi" w:hAnsiTheme="minorHAnsi" w:cstheme="minorHAnsi"/>
        </w:rPr>
        <w:t xml:space="preserve">01-06-1928          5,0 milliards de $ </w:t>
      </w:r>
    </w:p>
    <w:p w:rsidR="00144F6E" w:rsidRPr="00144F6E" w:rsidRDefault="00CC1484" w:rsidP="00144F6E">
      <w:pPr>
        <w:pStyle w:val="Paragraphedeliste"/>
        <w:numPr>
          <w:ilvl w:val="0"/>
          <w:numId w:val="26"/>
        </w:numPr>
        <w:jc w:val="both"/>
        <w:rPr>
          <w:rFonts w:asciiTheme="minorHAnsi" w:hAnsiTheme="minorHAnsi" w:cstheme="minorHAnsi"/>
        </w:rPr>
      </w:pPr>
      <w:r w:rsidRPr="00144F6E">
        <w:rPr>
          <w:rFonts w:asciiTheme="minorHAnsi" w:hAnsiTheme="minorHAnsi" w:cstheme="minorHAnsi"/>
        </w:rPr>
        <w:t xml:space="preserve">01-11-1928          6,0 milliards de $ </w:t>
      </w:r>
    </w:p>
    <w:p w:rsidR="00CC1484" w:rsidRPr="00144F6E" w:rsidRDefault="00CC1484" w:rsidP="00144F6E">
      <w:pPr>
        <w:pStyle w:val="Paragraphedeliste"/>
        <w:numPr>
          <w:ilvl w:val="0"/>
          <w:numId w:val="26"/>
        </w:numPr>
        <w:jc w:val="both"/>
        <w:rPr>
          <w:rFonts w:asciiTheme="minorHAnsi" w:hAnsiTheme="minorHAnsi" w:cstheme="minorHAnsi"/>
        </w:rPr>
      </w:pPr>
      <w:r w:rsidRPr="00144F6E">
        <w:rPr>
          <w:rFonts w:asciiTheme="minorHAnsi" w:hAnsiTheme="minorHAnsi" w:cstheme="minorHAnsi"/>
        </w:rPr>
        <w:t>01-10-1929          7,0 milliards de $</w:t>
      </w:r>
    </w:p>
    <w:p w:rsidR="00CC1484" w:rsidRPr="00CC1484" w:rsidRDefault="00CC1484" w:rsidP="00144F6E">
      <w:pPr>
        <w:jc w:val="both"/>
        <w:rPr>
          <w:rFonts w:asciiTheme="minorHAnsi" w:hAnsiTheme="minorHAnsi" w:cstheme="minorHAnsi"/>
        </w:rPr>
      </w:pPr>
      <w:r w:rsidRPr="00CC1484">
        <w:rPr>
          <w:rFonts w:asciiTheme="minorHAnsi" w:hAnsiTheme="minorHAnsi" w:cstheme="minorHAnsi"/>
        </w:rPr>
        <w:t>Les call loans sont un peu les ancêtres des « obligations pourries » et autres subprimes à l'origine de la crise de 2007. En 1929, 80 % des acquisitions d'actions furent financées par le crédit...</w:t>
      </w:r>
    </w:p>
    <w:p w:rsidR="00CC1484" w:rsidRDefault="00CC1484" w:rsidP="005547BE">
      <w:pPr>
        <w:pStyle w:val="Sansinterligne"/>
      </w:pPr>
    </w:p>
    <w:p w:rsidR="00144F6E" w:rsidRPr="00C972C6" w:rsidRDefault="00144F6E" w:rsidP="00C972C6">
      <w:pPr>
        <w:jc w:val="right"/>
        <w:rPr>
          <w:rFonts w:asciiTheme="minorHAnsi" w:hAnsiTheme="minorHAnsi" w:cstheme="minorHAnsi"/>
          <w:i/>
          <w:sz w:val="20"/>
          <w:szCs w:val="20"/>
        </w:rPr>
      </w:pPr>
      <w:r w:rsidRPr="00C972C6">
        <w:rPr>
          <w:rFonts w:asciiTheme="minorHAnsi" w:hAnsiTheme="minorHAnsi" w:cstheme="minorHAnsi"/>
          <w:i/>
          <w:sz w:val="20"/>
          <w:szCs w:val="20"/>
        </w:rPr>
        <w:t xml:space="preserve">Morad El Hattab et Philippe Jumel, </w:t>
      </w:r>
      <w:hyperlink r:id="rId12" w:anchor="v=snippet&amp;q=call%20loans&amp;f=false" w:history="1">
        <w:r w:rsidRPr="00C972C6">
          <w:rPr>
            <w:rStyle w:val="Lienhypertexte"/>
            <w:rFonts w:asciiTheme="minorHAnsi" w:hAnsiTheme="minorHAnsi" w:cstheme="minorHAnsi"/>
            <w:i/>
            <w:sz w:val="20"/>
            <w:szCs w:val="20"/>
          </w:rPr>
          <w:t>La finance mondiale : tout va exploser</w:t>
        </w:r>
      </w:hyperlink>
      <w:r w:rsidRPr="00C972C6">
        <w:rPr>
          <w:rFonts w:asciiTheme="minorHAnsi" w:hAnsiTheme="minorHAnsi" w:cstheme="minorHAnsi"/>
          <w:i/>
          <w:sz w:val="20"/>
          <w:szCs w:val="20"/>
        </w:rPr>
        <w:t>, Ed. Léo Scheer, 2008</w:t>
      </w:r>
    </w:p>
    <w:p w:rsidR="0028024B" w:rsidRDefault="0028024B" w:rsidP="00AF484D">
      <w:pPr>
        <w:rPr>
          <w:rFonts w:asciiTheme="minorHAnsi" w:hAnsiTheme="minorHAnsi" w:cstheme="minorHAnsi"/>
        </w:rPr>
      </w:pPr>
    </w:p>
    <w:p w:rsidR="00C972C6" w:rsidRDefault="00C972C6" w:rsidP="00C972C6">
      <w:pPr>
        <w:pStyle w:val="Paragraphedeliste"/>
        <w:numPr>
          <w:ilvl w:val="0"/>
          <w:numId w:val="33"/>
        </w:numPr>
        <w:rPr>
          <w:rFonts w:asciiTheme="minorHAnsi" w:hAnsiTheme="minorHAnsi" w:cstheme="minorHAnsi"/>
        </w:rPr>
      </w:pPr>
      <w:r>
        <w:rPr>
          <w:rFonts w:asciiTheme="minorHAnsi" w:hAnsiTheme="minorHAnsi" w:cstheme="minorHAnsi"/>
        </w:rPr>
        <w:t>Rappelez le fonctionnement des call loans des années 1920 aux États-Unis.</w:t>
      </w:r>
    </w:p>
    <w:p w:rsidR="00C972C6" w:rsidRDefault="00C972C6" w:rsidP="00C972C6">
      <w:pPr>
        <w:pStyle w:val="Paragraphedeliste"/>
        <w:numPr>
          <w:ilvl w:val="0"/>
          <w:numId w:val="33"/>
        </w:numPr>
        <w:rPr>
          <w:rFonts w:asciiTheme="minorHAnsi" w:hAnsiTheme="minorHAnsi" w:cstheme="minorHAnsi"/>
        </w:rPr>
      </w:pPr>
      <w:r>
        <w:rPr>
          <w:rFonts w:asciiTheme="minorHAnsi" w:hAnsiTheme="minorHAnsi" w:cstheme="minorHAnsi"/>
        </w:rPr>
        <w:t>Montrez qu’ils se sont fortement développés.</w:t>
      </w:r>
    </w:p>
    <w:p w:rsidR="00C972C6" w:rsidRPr="00C972C6" w:rsidRDefault="00C972C6" w:rsidP="00C972C6">
      <w:pPr>
        <w:pStyle w:val="Paragraphedeliste"/>
        <w:numPr>
          <w:ilvl w:val="0"/>
          <w:numId w:val="33"/>
        </w:numPr>
        <w:rPr>
          <w:rFonts w:asciiTheme="minorHAnsi" w:hAnsiTheme="minorHAnsi" w:cstheme="minorHAnsi"/>
        </w:rPr>
      </w:pPr>
      <w:r>
        <w:rPr>
          <w:rFonts w:asciiTheme="minorHAnsi" w:hAnsiTheme="minorHAnsi" w:cstheme="minorHAnsi"/>
        </w:rPr>
        <w:t>Expliquez comment ce développement participe à l’augmentation de l’indice Dow Jones.</w:t>
      </w:r>
    </w:p>
    <w:p w:rsidR="00C972C6" w:rsidRDefault="00C972C6" w:rsidP="00AF484D">
      <w:pPr>
        <w:rPr>
          <w:rFonts w:asciiTheme="minorHAnsi" w:hAnsiTheme="minorHAnsi" w:cstheme="minorHAnsi"/>
        </w:rPr>
      </w:pPr>
    </w:p>
    <w:p w:rsidR="00AF484D" w:rsidRDefault="00E61E55" w:rsidP="00AF484D">
      <w:pPr>
        <w:rPr>
          <w:rFonts w:asciiTheme="minorHAnsi" w:hAnsiTheme="minorHAnsi" w:cstheme="minorHAnsi"/>
        </w:rPr>
      </w:pPr>
      <w:r w:rsidRPr="00AF484D">
        <w:rPr>
          <w:rFonts w:asciiTheme="minorHAnsi" w:hAnsiTheme="minorHAnsi" w:cstheme="minorHAnsi"/>
        </w:rPr>
        <w:t>Document</w:t>
      </w:r>
      <w:r w:rsidR="00AF484D">
        <w:rPr>
          <w:rFonts w:asciiTheme="minorHAnsi" w:hAnsiTheme="minorHAnsi" w:cstheme="minorHAnsi"/>
        </w:rPr>
        <w:t xml:space="preserve"> </w:t>
      </w:r>
      <w:r w:rsidR="00C972C6">
        <w:rPr>
          <w:rFonts w:asciiTheme="minorHAnsi" w:hAnsiTheme="minorHAnsi" w:cstheme="minorHAnsi"/>
        </w:rPr>
        <w:t>6</w:t>
      </w:r>
      <w:r w:rsidRPr="00AF484D">
        <w:rPr>
          <w:rFonts w:asciiTheme="minorHAnsi" w:hAnsiTheme="minorHAnsi" w:cstheme="minorHAnsi"/>
        </w:rPr>
        <w:t xml:space="preserve"> – </w:t>
      </w:r>
      <w:r w:rsidR="00AF484D" w:rsidRPr="00AF484D">
        <w:rPr>
          <w:rFonts w:asciiTheme="minorHAnsi" w:hAnsiTheme="minorHAnsi" w:cstheme="minorHAnsi"/>
        </w:rPr>
        <w:t xml:space="preserve">La montée de l'endettement aux </w:t>
      </w:r>
      <w:r w:rsidR="00AF484D">
        <w:rPr>
          <w:rFonts w:asciiTheme="minorHAnsi" w:hAnsiTheme="minorHAnsi" w:cstheme="minorHAnsi"/>
        </w:rPr>
        <w:t>É</w:t>
      </w:r>
      <w:r w:rsidR="00AF484D" w:rsidRPr="00AF484D">
        <w:rPr>
          <w:rFonts w:asciiTheme="minorHAnsi" w:hAnsiTheme="minorHAnsi" w:cstheme="minorHAnsi"/>
        </w:rPr>
        <w:t>tats-Unis</w:t>
      </w:r>
    </w:p>
    <w:p w:rsidR="00AF484D" w:rsidRPr="00AF484D" w:rsidRDefault="00AF484D" w:rsidP="00AF484D">
      <w:pPr>
        <w:rPr>
          <w:rFonts w:asciiTheme="minorHAnsi" w:hAnsiTheme="minorHAnsi" w:cstheme="minorHAnsi"/>
        </w:rPr>
      </w:pPr>
    </w:p>
    <w:p w:rsidR="00AF484D" w:rsidRPr="00AF484D" w:rsidRDefault="00AF484D" w:rsidP="00AF484D">
      <w:pPr>
        <w:jc w:val="center"/>
        <w:rPr>
          <w:rFonts w:asciiTheme="minorHAnsi" w:hAnsiTheme="minorHAnsi" w:cstheme="minorHAnsi"/>
          <w:b/>
        </w:rPr>
      </w:pPr>
      <w:r w:rsidRPr="00AF484D">
        <w:rPr>
          <w:rFonts w:asciiTheme="minorHAnsi" w:hAnsiTheme="minorHAnsi" w:cstheme="minorHAnsi"/>
          <w:b/>
        </w:rPr>
        <w:t xml:space="preserve">Endettement des secteurs institutionnels aux </w:t>
      </w:r>
      <w:r>
        <w:rPr>
          <w:rFonts w:asciiTheme="minorHAnsi" w:hAnsiTheme="minorHAnsi" w:cstheme="minorHAnsi"/>
          <w:b/>
        </w:rPr>
        <w:t>É</w:t>
      </w:r>
      <w:r w:rsidRPr="00AF484D">
        <w:rPr>
          <w:rFonts w:asciiTheme="minorHAnsi" w:hAnsiTheme="minorHAnsi" w:cstheme="minorHAnsi"/>
          <w:b/>
        </w:rPr>
        <w:t>tats-Unis en % du PIB</w:t>
      </w:r>
    </w:p>
    <w:p w:rsidR="00F35289" w:rsidRDefault="00AF484D" w:rsidP="007A5045">
      <w:pPr>
        <w:jc w:val="center"/>
      </w:pPr>
      <w:r w:rsidRPr="00AF484D">
        <w:rPr>
          <w:noProof/>
        </w:rPr>
        <w:drawing>
          <wp:inline distT="0" distB="0" distL="0" distR="0">
            <wp:extent cx="5972810" cy="3903980"/>
            <wp:effectExtent l="19050" t="0" r="27940" b="127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7DAB" w:rsidRPr="00AD251C" w:rsidRDefault="009F7DAB" w:rsidP="005547BE">
      <w:pPr>
        <w:pStyle w:val="Sansinterligne"/>
      </w:pPr>
    </w:p>
    <w:p w:rsidR="00AF484D" w:rsidRPr="00AF484D" w:rsidRDefault="003C7030" w:rsidP="00AF484D">
      <w:pPr>
        <w:jc w:val="right"/>
        <w:rPr>
          <w:rFonts w:asciiTheme="minorHAnsi" w:hAnsiTheme="minorHAnsi" w:cstheme="minorHAnsi"/>
          <w:b/>
          <w:i/>
          <w:sz w:val="20"/>
          <w:szCs w:val="20"/>
        </w:rPr>
      </w:pPr>
      <w:hyperlink r:id="rId14" w:history="1">
        <w:r w:rsidR="00AF484D" w:rsidRPr="00AF484D">
          <w:rPr>
            <w:rStyle w:val="Lienhypertexte"/>
            <w:rFonts w:asciiTheme="minorHAnsi" w:hAnsiTheme="minorHAnsi" w:cstheme="minorHAnsi"/>
            <w:i/>
            <w:sz w:val="20"/>
            <w:szCs w:val="20"/>
          </w:rPr>
          <w:t>FRB pour les dettes</w:t>
        </w:r>
      </w:hyperlink>
      <w:r w:rsidR="00AF484D" w:rsidRPr="00AF484D">
        <w:rPr>
          <w:rFonts w:asciiTheme="minorHAnsi" w:hAnsiTheme="minorHAnsi" w:cstheme="minorHAnsi"/>
          <w:b/>
          <w:i/>
          <w:sz w:val="20"/>
          <w:szCs w:val="20"/>
        </w:rPr>
        <w:t xml:space="preserve"> et </w:t>
      </w:r>
      <w:hyperlink r:id="rId15" w:anchor="gdp" w:history="1">
        <w:r w:rsidR="00AF484D" w:rsidRPr="00AF484D">
          <w:rPr>
            <w:rStyle w:val="Lienhypertexte"/>
            <w:rFonts w:asciiTheme="minorHAnsi" w:hAnsiTheme="minorHAnsi" w:cstheme="minorHAnsi"/>
            <w:i/>
            <w:sz w:val="20"/>
            <w:szCs w:val="20"/>
          </w:rPr>
          <w:t>BEA pour lePIB</w:t>
        </w:r>
      </w:hyperlink>
    </w:p>
    <w:p w:rsidR="009F7DAB" w:rsidRPr="00F478D6" w:rsidRDefault="009F7DAB" w:rsidP="005547BE">
      <w:pPr>
        <w:pStyle w:val="Sansinterligne"/>
      </w:pPr>
    </w:p>
    <w:p w:rsidR="00AF484D" w:rsidRPr="007C6282" w:rsidRDefault="00AF484D" w:rsidP="00AF484D">
      <w:pPr>
        <w:pStyle w:val="Paragraphedeliste"/>
        <w:numPr>
          <w:ilvl w:val="0"/>
          <w:numId w:val="24"/>
        </w:numPr>
        <w:jc w:val="both"/>
      </w:pPr>
      <w:r w:rsidRPr="007C6282">
        <w:t>Caractérisez l'endettement total</w:t>
      </w:r>
      <w:r>
        <w:t xml:space="preserve"> </w:t>
      </w:r>
      <w:r w:rsidRPr="007C6282">
        <w:t>de l'économie américaine</w:t>
      </w:r>
      <w:r>
        <w:t xml:space="preserve"> pour la dernière année disponible</w:t>
      </w:r>
      <w:r w:rsidRPr="007C6282">
        <w:t>.</w:t>
      </w:r>
    </w:p>
    <w:p w:rsidR="00AF484D" w:rsidRPr="007C6282" w:rsidRDefault="00AF484D" w:rsidP="00AF484D">
      <w:pPr>
        <w:pStyle w:val="Paragraphedeliste"/>
        <w:numPr>
          <w:ilvl w:val="0"/>
          <w:numId w:val="24"/>
        </w:numPr>
        <w:jc w:val="both"/>
      </w:pPr>
      <w:r w:rsidRPr="007C6282">
        <w:t>À l'aide de l'outil qui vous semble</w:t>
      </w:r>
      <w:r>
        <w:t xml:space="preserve"> </w:t>
      </w:r>
      <w:r w:rsidRPr="007C6282">
        <w:t>approprié, mesurez l'évolution</w:t>
      </w:r>
      <w:r>
        <w:t xml:space="preserve"> </w:t>
      </w:r>
      <w:r w:rsidRPr="007C6282">
        <w:t>de la dette des ménages</w:t>
      </w:r>
      <w:r>
        <w:t xml:space="preserve"> </w:t>
      </w:r>
      <w:r w:rsidRPr="007C6282">
        <w:t>et des sociétés financières entre 1980 et 2008.</w:t>
      </w:r>
    </w:p>
    <w:p w:rsidR="003A0976" w:rsidRDefault="00AF484D" w:rsidP="003A0976">
      <w:pPr>
        <w:pStyle w:val="Paragraphedeliste"/>
        <w:numPr>
          <w:ilvl w:val="0"/>
          <w:numId w:val="24"/>
        </w:numPr>
        <w:spacing w:after="200" w:line="276" w:lineRule="auto"/>
        <w:jc w:val="both"/>
      </w:pPr>
      <w:r w:rsidRPr="007C6282">
        <w:t>Comment une banque peut-elle</w:t>
      </w:r>
      <w:r>
        <w:t xml:space="preserve"> </w:t>
      </w:r>
      <w:r w:rsidRPr="007C6282">
        <w:t>être endettée ?</w:t>
      </w:r>
      <w:r w:rsidR="003A0976">
        <w:br w:type="page"/>
      </w:r>
    </w:p>
    <w:p w:rsidR="003A0976" w:rsidRPr="003A0976" w:rsidRDefault="003A0976" w:rsidP="003A0976">
      <w:pPr>
        <w:ind w:left="360"/>
        <w:rPr>
          <w:rFonts w:asciiTheme="minorHAnsi" w:hAnsiTheme="minorHAnsi" w:cstheme="minorHAnsi"/>
        </w:rPr>
      </w:pPr>
      <w:r w:rsidRPr="003A0976">
        <w:rPr>
          <w:rFonts w:asciiTheme="minorHAnsi" w:hAnsiTheme="minorHAnsi" w:cstheme="minorHAnsi"/>
        </w:rPr>
        <w:lastRenderedPageBreak/>
        <w:t xml:space="preserve">Document </w:t>
      </w:r>
      <w:r>
        <w:rPr>
          <w:rFonts w:asciiTheme="minorHAnsi" w:hAnsiTheme="minorHAnsi" w:cstheme="minorHAnsi"/>
        </w:rPr>
        <w:t>7</w:t>
      </w:r>
      <w:r w:rsidRPr="003A0976">
        <w:rPr>
          <w:rFonts w:asciiTheme="minorHAnsi" w:hAnsiTheme="minorHAnsi" w:cstheme="minorHAnsi"/>
        </w:rPr>
        <w:t xml:space="preserve"> – </w:t>
      </w:r>
      <w:r>
        <w:rPr>
          <w:rFonts w:asciiTheme="minorHAnsi" w:hAnsiTheme="minorHAnsi" w:cstheme="minorHAnsi"/>
        </w:rPr>
        <w:t xml:space="preserve">L’évolution du prix de l’immobilier </w:t>
      </w:r>
      <w:r w:rsidRPr="003A0976">
        <w:rPr>
          <w:rFonts w:asciiTheme="minorHAnsi" w:hAnsiTheme="minorHAnsi" w:cstheme="minorHAnsi"/>
        </w:rPr>
        <w:t>aux États-Unis</w:t>
      </w:r>
    </w:p>
    <w:p w:rsidR="00AF484D" w:rsidRPr="003A0976" w:rsidRDefault="00AF484D" w:rsidP="003A0976"/>
    <w:p w:rsidR="00E61E55" w:rsidRPr="003A0976" w:rsidRDefault="003C7030" w:rsidP="003A0976">
      <w:r>
        <w:rPr>
          <w:noProof/>
        </w:rPr>
        <w:pict>
          <v:shape id="_x0000_s1035" type="#_x0000_t202" style="position:absolute;margin-left:285pt;margin-top:141.15pt;width:49.5pt;height:19pt;z-index:251667456">
            <v:textbox>
              <w:txbxContent>
                <w:p w:rsidR="00065A3F" w:rsidRPr="00BF067A" w:rsidRDefault="00065A3F" w:rsidP="00BF067A">
                  <w:pPr>
                    <w:rPr>
                      <w:rFonts w:asciiTheme="minorHAnsi" w:hAnsiTheme="minorHAnsi" w:cstheme="minorHAnsi"/>
                      <w:sz w:val="16"/>
                      <w:szCs w:val="16"/>
                    </w:rPr>
                  </w:pPr>
                  <w:r>
                    <w:rPr>
                      <w:rFonts w:asciiTheme="minorHAnsi" w:hAnsiTheme="minorHAnsi" w:cstheme="minorHAnsi"/>
                      <w:sz w:val="16"/>
                      <w:szCs w:val="16"/>
                    </w:rPr>
                    <w:t>Avril 2009</w:t>
                  </w:r>
                </w:p>
              </w:txbxContent>
            </v:textbox>
          </v:shape>
        </w:pict>
      </w:r>
      <w:r>
        <w:rPr>
          <w:noProof/>
        </w:rPr>
        <w:pict>
          <v:shapetype id="_x0000_t32" coordsize="21600,21600" o:spt="32" o:oned="t" path="m,l21600,21600e" filled="f">
            <v:path arrowok="t" fillok="f" o:connecttype="none"/>
            <o:lock v:ext="edit" shapetype="t"/>
          </v:shapetype>
          <v:shape id="_x0000_s1034" type="#_x0000_t32" style="position:absolute;margin-left:334.5pt;margin-top:121.65pt;width:6pt;height:19.5pt;flip:y;z-index:251666432" o:connectortype="straight">
            <v:stroke endarrow="block"/>
          </v:shape>
        </w:pict>
      </w:r>
      <w:r>
        <w:rPr>
          <w:noProof/>
        </w:rPr>
        <w:pict>
          <v:shape id="_x0000_s1033" type="#_x0000_t202" style="position:absolute;margin-left:232pt;margin-top:35.15pt;width:49.5pt;height:19pt;z-index:251665408">
            <v:textbox>
              <w:txbxContent>
                <w:p w:rsidR="00065A3F" w:rsidRPr="00BF067A" w:rsidRDefault="00065A3F">
                  <w:pPr>
                    <w:rPr>
                      <w:rFonts w:asciiTheme="minorHAnsi" w:hAnsiTheme="minorHAnsi" w:cstheme="minorHAnsi"/>
                      <w:sz w:val="16"/>
                      <w:szCs w:val="16"/>
                    </w:rPr>
                  </w:pPr>
                  <w:r w:rsidRPr="00BF067A">
                    <w:rPr>
                      <w:rFonts w:asciiTheme="minorHAnsi" w:hAnsiTheme="minorHAnsi" w:cstheme="minorHAnsi"/>
                      <w:sz w:val="16"/>
                      <w:szCs w:val="16"/>
                    </w:rPr>
                    <w:t>Juin 2006</w:t>
                  </w:r>
                </w:p>
              </w:txbxContent>
            </v:textbox>
          </v:shape>
        </w:pict>
      </w:r>
      <w:r>
        <w:rPr>
          <w:noProof/>
        </w:rPr>
        <w:pict>
          <v:shape id="_x0000_s1032" type="#_x0000_t32" style="position:absolute;margin-left:281.5pt;margin-top:44.15pt;width:24.5pt;height:10pt;z-index:251664384" o:connectortype="straight">
            <v:stroke endarrow="block"/>
          </v:shape>
        </w:pict>
      </w:r>
      <w:r w:rsidR="003A0976">
        <w:rPr>
          <w:noProof/>
        </w:rPr>
        <w:drawing>
          <wp:inline distT="0" distB="0" distL="0" distR="0">
            <wp:extent cx="6645910" cy="3841771"/>
            <wp:effectExtent l="19050" t="0" r="2540" b="0"/>
            <wp:docPr id="1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6645910" cy="3841771"/>
                    </a:xfrm>
                    <a:prstGeom prst="rect">
                      <a:avLst/>
                    </a:prstGeom>
                    <a:noFill/>
                    <a:ln w="9525">
                      <a:noFill/>
                      <a:miter lim="800000"/>
                      <a:headEnd/>
                      <a:tailEnd/>
                    </a:ln>
                  </pic:spPr>
                </pic:pic>
              </a:graphicData>
            </a:graphic>
          </wp:inline>
        </w:drawing>
      </w:r>
    </w:p>
    <w:p w:rsidR="004233CC" w:rsidRPr="003A0976" w:rsidRDefault="003C7030" w:rsidP="003A0976">
      <w:pPr>
        <w:jc w:val="right"/>
        <w:rPr>
          <w:rFonts w:asciiTheme="minorHAnsi" w:hAnsiTheme="minorHAnsi" w:cstheme="minorHAnsi"/>
          <w:i/>
          <w:sz w:val="20"/>
          <w:szCs w:val="20"/>
        </w:rPr>
      </w:pPr>
      <w:hyperlink r:id="rId17" w:history="1">
        <w:r w:rsidR="003A0976" w:rsidRPr="003A0976">
          <w:rPr>
            <w:rStyle w:val="Lienhypertexte"/>
            <w:rFonts w:asciiTheme="minorHAnsi" w:hAnsiTheme="minorHAnsi" w:cstheme="minorHAnsi"/>
            <w:i/>
            <w:sz w:val="20"/>
            <w:szCs w:val="20"/>
          </w:rPr>
          <w:t>ABC Bourse</w:t>
        </w:r>
      </w:hyperlink>
    </w:p>
    <w:p w:rsidR="003A0976" w:rsidRPr="003A0976" w:rsidRDefault="003A0976" w:rsidP="00115D3A">
      <w:pPr>
        <w:jc w:val="both"/>
        <w:rPr>
          <w:rFonts w:asciiTheme="minorHAnsi" w:hAnsiTheme="minorHAnsi" w:cstheme="minorHAnsi"/>
          <w:sz w:val="16"/>
          <w:szCs w:val="16"/>
        </w:rPr>
      </w:pPr>
      <w:r w:rsidRPr="003A0976">
        <w:rPr>
          <w:rFonts w:asciiTheme="minorHAnsi" w:hAnsiTheme="minorHAnsi" w:cstheme="minorHAnsi"/>
          <w:sz w:val="16"/>
          <w:szCs w:val="16"/>
        </w:rPr>
        <w:t>L'indice Case-Shiller est calculé mensuellement et concerne le marché immobilier américain. Publié par Standard &amp; Poor's, il mesure la valeur nominale du marché de l'immobilier résidentiel aux USA.</w:t>
      </w:r>
    </w:p>
    <w:p w:rsidR="003A0976" w:rsidRPr="003A0976" w:rsidRDefault="003A0976" w:rsidP="00115D3A">
      <w:pPr>
        <w:jc w:val="both"/>
        <w:rPr>
          <w:rFonts w:asciiTheme="minorHAnsi" w:hAnsiTheme="minorHAnsi" w:cstheme="minorHAnsi"/>
          <w:sz w:val="16"/>
          <w:szCs w:val="16"/>
        </w:rPr>
      </w:pPr>
      <w:r w:rsidRPr="003A0976">
        <w:rPr>
          <w:rFonts w:asciiTheme="minorHAnsi" w:hAnsiTheme="minorHAnsi" w:cstheme="minorHAnsi"/>
          <w:sz w:val="16"/>
          <w:szCs w:val="16"/>
        </w:rPr>
        <w:t>Son calcul est notamment basé sur l'étude de 20 régions métropolitaines aux Etats-Unis. C'est un indicateur de référence de la tendance du marché immobilier.</w:t>
      </w:r>
    </w:p>
    <w:p w:rsidR="00D97944" w:rsidRPr="003A0976" w:rsidRDefault="00D97944" w:rsidP="003A0976"/>
    <w:p w:rsidR="00D97944" w:rsidRPr="00E327EC" w:rsidRDefault="00115D3A" w:rsidP="00115D3A">
      <w:pPr>
        <w:pStyle w:val="Paragraphedeliste"/>
        <w:numPr>
          <w:ilvl w:val="0"/>
          <w:numId w:val="34"/>
        </w:numPr>
        <w:rPr>
          <w:rFonts w:asciiTheme="minorHAnsi" w:hAnsiTheme="minorHAnsi" w:cstheme="minorHAnsi"/>
        </w:rPr>
      </w:pPr>
      <w:r w:rsidRPr="00E327EC">
        <w:rPr>
          <w:rFonts w:asciiTheme="minorHAnsi" w:hAnsiTheme="minorHAnsi" w:cstheme="minorHAnsi"/>
        </w:rPr>
        <w:t xml:space="preserve">Mesurez l’augmentation de l’indice du prix de l’immobilier aux </w:t>
      </w:r>
      <w:r w:rsidR="00E327EC">
        <w:rPr>
          <w:rFonts w:asciiTheme="minorHAnsi" w:hAnsiTheme="minorHAnsi" w:cstheme="minorHAnsi"/>
        </w:rPr>
        <w:t>É</w:t>
      </w:r>
      <w:r w:rsidRPr="00E327EC">
        <w:rPr>
          <w:rFonts w:asciiTheme="minorHAnsi" w:hAnsiTheme="minorHAnsi" w:cstheme="minorHAnsi"/>
        </w:rPr>
        <w:t>tats-Unis entre le 01/2000 et son apogée en juin 2006.</w:t>
      </w:r>
    </w:p>
    <w:p w:rsidR="00115D3A" w:rsidRPr="00E327EC" w:rsidRDefault="00115D3A" w:rsidP="00115D3A">
      <w:pPr>
        <w:pStyle w:val="Paragraphedeliste"/>
        <w:numPr>
          <w:ilvl w:val="0"/>
          <w:numId w:val="34"/>
        </w:numPr>
        <w:rPr>
          <w:rFonts w:asciiTheme="minorHAnsi" w:hAnsiTheme="minorHAnsi" w:cstheme="minorHAnsi"/>
        </w:rPr>
      </w:pPr>
      <w:r w:rsidRPr="00E327EC">
        <w:rPr>
          <w:rFonts w:asciiTheme="minorHAnsi" w:hAnsiTheme="minorHAnsi" w:cstheme="minorHAnsi"/>
        </w:rPr>
        <w:t>Mesurez l’ampleur de la chute jusqu’en avril 2009</w:t>
      </w:r>
      <w:r w:rsidR="00BF067A" w:rsidRPr="00E327EC">
        <w:rPr>
          <w:rFonts w:asciiTheme="minorHAnsi" w:hAnsiTheme="minorHAnsi" w:cstheme="minorHAnsi"/>
        </w:rPr>
        <w:t>.</w:t>
      </w:r>
    </w:p>
    <w:p w:rsidR="00BF067A" w:rsidRPr="00E327EC" w:rsidRDefault="00BF067A" w:rsidP="00115D3A">
      <w:pPr>
        <w:pStyle w:val="Paragraphedeliste"/>
        <w:numPr>
          <w:ilvl w:val="0"/>
          <w:numId w:val="34"/>
        </w:numPr>
        <w:rPr>
          <w:rFonts w:asciiTheme="minorHAnsi" w:hAnsiTheme="minorHAnsi" w:cstheme="minorHAnsi"/>
        </w:rPr>
      </w:pPr>
      <w:r w:rsidRPr="00E327EC">
        <w:rPr>
          <w:rFonts w:asciiTheme="minorHAnsi" w:hAnsiTheme="minorHAnsi" w:cstheme="minorHAnsi"/>
        </w:rPr>
        <w:t>Calculez  la perte de valeur d’une maison valant 1 million de dollars en juin 2006, en avril 2009.</w:t>
      </w:r>
    </w:p>
    <w:p w:rsidR="00472FB7" w:rsidRDefault="00472FB7">
      <w:pPr>
        <w:spacing w:after="200" w:line="276" w:lineRule="auto"/>
      </w:pPr>
      <w:r>
        <w:br w:type="page"/>
      </w:r>
    </w:p>
    <w:p w:rsidR="00472FB7" w:rsidRDefault="00472FB7" w:rsidP="00472FB7">
      <w:pPr>
        <w:rPr>
          <w:rFonts w:asciiTheme="minorHAnsi" w:hAnsiTheme="minorHAnsi" w:cstheme="minorHAnsi"/>
        </w:rPr>
      </w:pPr>
      <w:r w:rsidRPr="00AF484D">
        <w:rPr>
          <w:rFonts w:asciiTheme="minorHAnsi" w:hAnsiTheme="minorHAnsi" w:cstheme="minorHAnsi"/>
        </w:rPr>
        <w:lastRenderedPageBreak/>
        <w:t>Document</w:t>
      </w:r>
      <w:r>
        <w:rPr>
          <w:rFonts w:asciiTheme="minorHAnsi" w:hAnsiTheme="minorHAnsi" w:cstheme="minorHAnsi"/>
        </w:rPr>
        <w:t xml:space="preserve"> 8</w:t>
      </w:r>
      <w:r w:rsidRPr="00AF484D">
        <w:rPr>
          <w:rFonts w:asciiTheme="minorHAnsi" w:hAnsiTheme="minorHAnsi" w:cstheme="minorHAnsi"/>
        </w:rPr>
        <w:t xml:space="preserve"> – </w:t>
      </w:r>
      <w:r>
        <w:rPr>
          <w:rFonts w:asciiTheme="minorHAnsi" w:hAnsiTheme="minorHAnsi" w:cstheme="minorHAnsi"/>
        </w:rPr>
        <w:t>Évolution de l’indice Dow Jones</w:t>
      </w:r>
      <w:r w:rsidRPr="00AF484D">
        <w:rPr>
          <w:rFonts w:asciiTheme="minorHAnsi" w:hAnsiTheme="minorHAnsi" w:cstheme="minorHAnsi"/>
        </w:rPr>
        <w:t xml:space="preserve"> aux </w:t>
      </w:r>
      <w:r>
        <w:rPr>
          <w:rFonts w:asciiTheme="minorHAnsi" w:hAnsiTheme="minorHAnsi" w:cstheme="minorHAnsi"/>
        </w:rPr>
        <w:t>É</w:t>
      </w:r>
      <w:r w:rsidRPr="00AF484D">
        <w:rPr>
          <w:rFonts w:asciiTheme="minorHAnsi" w:hAnsiTheme="minorHAnsi" w:cstheme="minorHAnsi"/>
        </w:rPr>
        <w:t>tats-</w:t>
      </w:r>
      <w:r w:rsidR="00E327EC" w:rsidRPr="00E327EC">
        <w:rPr>
          <w:rFonts w:asciiTheme="minorHAnsi" w:hAnsiTheme="minorHAnsi" w:cstheme="minorHAnsi"/>
        </w:rPr>
        <w:t xml:space="preserve"> </w:t>
      </w:r>
      <w:r w:rsidR="00E327EC" w:rsidRPr="00AF484D">
        <w:rPr>
          <w:rFonts w:asciiTheme="minorHAnsi" w:hAnsiTheme="minorHAnsi" w:cstheme="minorHAnsi"/>
        </w:rPr>
        <w:t>Unis</w:t>
      </w:r>
      <w:r w:rsidR="00E327EC">
        <w:rPr>
          <w:rFonts w:asciiTheme="minorHAnsi" w:hAnsiTheme="minorHAnsi" w:cstheme="minorHAnsi"/>
        </w:rPr>
        <w:t xml:space="preserve"> (corrigé de l’inflation)</w:t>
      </w:r>
    </w:p>
    <w:p w:rsidR="00D97944" w:rsidRDefault="00D97944" w:rsidP="003A0976"/>
    <w:p w:rsidR="005547BE" w:rsidRDefault="005547BE" w:rsidP="005547BE">
      <w:pPr>
        <w:pStyle w:val="Sansinterligne"/>
      </w:pPr>
      <w:r>
        <w:t>(échelle logarithmique)</w:t>
      </w:r>
    </w:p>
    <w:p w:rsidR="00472FB7" w:rsidRPr="003A0976" w:rsidRDefault="003C7030" w:rsidP="003A0976">
      <w:r>
        <w:rPr>
          <w:noProof/>
        </w:rPr>
        <w:pict>
          <v:shape id="_x0000_s1039" type="#_x0000_t202" style="position:absolute;margin-left:277.5pt;margin-top:32.3pt;width:133pt;height:17.15pt;z-index:251671552">
            <v:textbox style="mso-next-textbox:#_x0000_s1039">
              <w:txbxContent>
                <w:p w:rsidR="00065A3F" w:rsidRPr="00BC10DE" w:rsidRDefault="00065A3F" w:rsidP="005547BE">
                  <w:pPr>
                    <w:rPr>
                      <w:rFonts w:asciiTheme="minorHAnsi" w:hAnsiTheme="minorHAnsi" w:cstheme="minorHAnsi"/>
                      <w:sz w:val="16"/>
                      <w:szCs w:val="16"/>
                    </w:rPr>
                  </w:pPr>
                  <w:r>
                    <w:rPr>
                      <w:rFonts w:asciiTheme="minorHAnsi" w:hAnsiTheme="minorHAnsi" w:cstheme="minorHAnsi"/>
                      <w:sz w:val="16"/>
                      <w:szCs w:val="16"/>
                    </w:rPr>
                    <w:t>Septembre 2007 (valeur = 17 090)</w:t>
                  </w:r>
                </w:p>
              </w:txbxContent>
            </v:textbox>
          </v:shape>
        </w:pict>
      </w:r>
      <w:r>
        <w:rPr>
          <w:noProof/>
        </w:rPr>
        <w:pict>
          <v:oval id="_x0000_s1038" style="position:absolute;margin-left:406.5pt;margin-top:49.45pt;width:11pt;height:11pt;z-index:251670528" filled="f" strokeweight="2.25pt"/>
        </w:pict>
      </w:r>
      <w:r>
        <w:rPr>
          <w:noProof/>
        </w:rPr>
        <w:pict>
          <v:shape id="_x0000_s1037" type="#_x0000_t202" style="position:absolute;margin-left:256.5pt;margin-top:238.3pt;width:110.5pt;height:17.15pt;z-index:251669504">
            <v:textbox style="mso-next-textbox:#_x0000_s1037">
              <w:txbxContent>
                <w:p w:rsidR="00065A3F" w:rsidRPr="00BC10DE" w:rsidRDefault="00065A3F" w:rsidP="005547BE">
                  <w:pPr>
                    <w:rPr>
                      <w:rFonts w:asciiTheme="minorHAnsi" w:hAnsiTheme="minorHAnsi" w:cstheme="minorHAnsi"/>
                      <w:sz w:val="16"/>
                      <w:szCs w:val="16"/>
                    </w:rPr>
                  </w:pPr>
                  <w:r>
                    <w:rPr>
                      <w:rFonts w:asciiTheme="minorHAnsi" w:hAnsiTheme="minorHAnsi" w:cstheme="minorHAnsi"/>
                      <w:sz w:val="16"/>
                      <w:szCs w:val="16"/>
                    </w:rPr>
                    <w:t>Juillet 1982 (valeur = 2 130)</w:t>
                  </w:r>
                </w:p>
              </w:txbxContent>
            </v:textbox>
          </v:shape>
        </w:pict>
      </w:r>
      <w:r>
        <w:rPr>
          <w:noProof/>
        </w:rPr>
        <w:pict>
          <v:oval id="_x0000_s1036" style="position:absolute;margin-left:245.5pt;margin-top:229.95pt;width:11pt;height:11pt;z-index:251668480" filled="f" strokeweight="2.25pt"/>
        </w:pict>
      </w:r>
      <w:r w:rsidR="00472FB7">
        <w:rPr>
          <w:noProof/>
        </w:rPr>
        <w:drawing>
          <wp:inline distT="0" distB="0" distL="0" distR="0">
            <wp:extent cx="6645910" cy="4028299"/>
            <wp:effectExtent l="19050" t="0" r="2540" b="0"/>
            <wp:docPr id="1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6645910" cy="4028299"/>
                    </a:xfrm>
                    <a:prstGeom prst="rect">
                      <a:avLst/>
                    </a:prstGeom>
                    <a:noFill/>
                    <a:ln w="9525">
                      <a:noFill/>
                      <a:miter lim="800000"/>
                      <a:headEnd/>
                      <a:tailEnd/>
                    </a:ln>
                  </pic:spPr>
                </pic:pic>
              </a:graphicData>
            </a:graphic>
          </wp:inline>
        </w:drawing>
      </w:r>
    </w:p>
    <w:p w:rsidR="00472FB7" w:rsidRPr="00BC10DE" w:rsidRDefault="003C7030" w:rsidP="00472FB7">
      <w:pPr>
        <w:jc w:val="right"/>
        <w:rPr>
          <w:i/>
        </w:rPr>
      </w:pPr>
      <w:hyperlink r:id="rId19" w:history="1">
        <w:r w:rsidR="00472FB7" w:rsidRPr="00BC10DE">
          <w:rPr>
            <w:rStyle w:val="Lienhypertexte"/>
            <w:i/>
          </w:rPr>
          <w:t>Macrotrends</w:t>
        </w:r>
      </w:hyperlink>
    </w:p>
    <w:p w:rsidR="00D97944" w:rsidRDefault="00D97944" w:rsidP="003A0976"/>
    <w:p w:rsidR="00472FB7" w:rsidRPr="00E327EC" w:rsidRDefault="00336CE5" w:rsidP="00336CE5">
      <w:pPr>
        <w:pStyle w:val="Paragraphedeliste"/>
        <w:numPr>
          <w:ilvl w:val="0"/>
          <w:numId w:val="35"/>
        </w:numPr>
        <w:rPr>
          <w:rFonts w:asciiTheme="minorHAnsi" w:hAnsiTheme="minorHAnsi" w:cstheme="minorHAnsi"/>
        </w:rPr>
      </w:pPr>
      <w:r w:rsidRPr="00E327EC">
        <w:rPr>
          <w:rFonts w:asciiTheme="minorHAnsi" w:hAnsiTheme="minorHAnsi" w:cstheme="minorHAnsi"/>
        </w:rPr>
        <w:t>Quelles sont les grandes périodes que l’on peut isoler dans l’évolution de l’indice Dow Jones depuis 1950 ?</w:t>
      </w:r>
    </w:p>
    <w:p w:rsidR="005547BE" w:rsidRDefault="005547BE" w:rsidP="00336CE5">
      <w:pPr>
        <w:pStyle w:val="Paragraphedeliste"/>
        <w:numPr>
          <w:ilvl w:val="0"/>
          <w:numId w:val="35"/>
        </w:numPr>
        <w:rPr>
          <w:rFonts w:asciiTheme="minorHAnsi" w:hAnsiTheme="minorHAnsi" w:cstheme="minorHAnsi"/>
        </w:rPr>
      </w:pPr>
      <w:r w:rsidRPr="00E327EC">
        <w:rPr>
          <w:rFonts w:asciiTheme="minorHAnsi" w:hAnsiTheme="minorHAnsi" w:cstheme="minorHAnsi"/>
        </w:rPr>
        <w:t>Calculez l’évolution de l’indice Dow Jones entre juillet 1982 et septembre 2007.</w:t>
      </w:r>
    </w:p>
    <w:p w:rsidR="00E327EC" w:rsidRDefault="00E327EC" w:rsidP="00336CE5">
      <w:pPr>
        <w:pStyle w:val="Paragraphedeliste"/>
        <w:numPr>
          <w:ilvl w:val="0"/>
          <w:numId w:val="35"/>
        </w:numPr>
        <w:rPr>
          <w:rFonts w:asciiTheme="minorHAnsi" w:hAnsiTheme="minorHAnsi" w:cstheme="minorHAnsi"/>
        </w:rPr>
      </w:pPr>
      <w:r>
        <w:rPr>
          <w:rFonts w:asciiTheme="minorHAnsi" w:hAnsiTheme="minorHAnsi" w:cstheme="minorHAnsi"/>
        </w:rPr>
        <w:t>Pourriez-vous faire un lien entre la montée de l’endettement (doc 6), la montée des prix de l’immobilier (doc 7) et la montée de l’indice Dow Jones (doc 8).</w:t>
      </w:r>
    </w:p>
    <w:p w:rsidR="00472FB7" w:rsidRDefault="00472FB7" w:rsidP="003A0976"/>
    <w:p w:rsidR="00E327EC" w:rsidRDefault="00E327EC">
      <w:pPr>
        <w:spacing w:after="200" w:line="276" w:lineRule="auto"/>
      </w:pPr>
      <w:r>
        <w:br w:type="page"/>
      </w:r>
    </w:p>
    <w:p w:rsidR="00E327EC" w:rsidRDefault="00E327EC" w:rsidP="00E327EC">
      <w:pPr>
        <w:rPr>
          <w:rFonts w:asciiTheme="minorHAnsi" w:hAnsiTheme="minorHAnsi" w:cstheme="minorHAnsi"/>
        </w:rPr>
      </w:pPr>
      <w:r w:rsidRPr="00AF484D">
        <w:rPr>
          <w:rFonts w:asciiTheme="minorHAnsi" w:hAnsiTheme="minorHAnsi" w:cstheme="minorHAnsi"/>
        </w:rPr>
        <w:lastRenderedPageBreak/>
        <w:t>Document</w:t>
      </w:r>
      <w:r>
        <w:rPr>
          <w:rFonts w:asciiTheme="minorHAnsi" w:hAnsiTheme="minorHAnsi" w:cstheme="minorHAnsi"/>
        </w:rPr>
        <w:t xml:space="preserve"> 9</w:t>
      </w:r>
      <w:r w:rsidRPr="00AF484D">
        <w:rPr>
          <w:rFonts w:asciiTheme="minorHAnsi" w:hAnsiTheme="minorHAnsi" w:cstheme="minorHAnsi"/>
        </w:rPr>
        <w:t xml:space="preserve"> – </w:t>
      </w:r>
      <w:r>
        <w:rPr>
          <w:rFonts w:asciiTheme="minorHAnsi" w:hAnsiTheme="minorHAnsi" w:cstheme="minorHAnsi"/>
        </w:rPr>
        <w:t>Taux d’intérêt directeur de la banque centrale américaine</w:t>
      </w:r>
    </w:p>
    <w:p w:rsidR="00E327EC" w:rsidRDefault="00E327EC" w:rsidP="003A0976">
      <w:pPr>
        <w:rPr>
          <w:noProof/>
        </w:rPr>
      </w:pPr>
    </w:p>
    <w:p w:rsidR="00E327EC" w:rsidRDefault="00E327EC" w:rsidP="003A0976">
      <w:r>
        <w:rPr>
          <w:noProof/>
        </w:rPr>
        <w:drawing>
          <wp:inline distT="0" distB="0" distL="0" distR="0">
            <wp:extent cx="6645910" cy="4097959"/>
            <wp:effectExtent l="19050" t="0" r="2540" b="0"/>
            <wp:docPr id="16"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6645910" cy="4097959"/>
                    </a:xfrm>
                    <a:prstGeom prst="rect">
                      <a:avLst/>
                    </a:prstGeom>
                    <a:noFill/>
                    <a:ln w="9525">
                      <a:noFill/>
                      <a:miter lim="800000"/>
                      <a:headEnd/>
                      <a:tailEnd/>
                    </a:ln>
                  </pic:spPr>
                </pic:pic>
              </a:graphicData>
            </a:graphic>
          </wp:inline>
        </w:drawing>
      </w:r>
    </w:p>
    <w:p w:rsidR="00472FB7" w:rsidRPr="00E327EC" w:rsidRDefault="003C7030" w:rsidP="00E327EC">
      <w:pPr>
        <w:jc w:val="right"/>
        <w:rPr>
          <w:rFonts w:asciiTheme="minorHAnsi" w:hAnsiTheme="minorHAnsi" w:cstheme="minorHAnsi"/>
          <w:i/>
          <w:sz w:val="20"/>
          <w:szCs w:val="20"/>
        </w:rPr>
      </w:pPr>
      <w:hyperlink r:id="rId21" w:history="1">
        <w:r w:rsidR="00E327EC" w:rsidRPr="00E327EC">
          <w:rPr>
            <w:rStyle w:val="Lienhypertexte"/>
            <w:rFonts w:asciiTheme="minorHAnsi" w:hAnsiTheme="minorHAnsi" w:cstheme="minorHAnsi"/>
            <w:i/>
            <w:sz w:val="20"/>
            <w:szCs w:val="20"/>
          </w:rPr>
          <w:t>Macrotren</w:t>
        </w:r>
        <w:r w:rsidR="00E327EC">
          <w:rPr>
            <w:rStyle w:val="Lienhypertexte"/>
            <w:rFonts w:asciiTheme="minorHAnsi" w:hAnsiTheme="minorHAnsi" w:cstheme="minorHAnsi"/>
            <w:i/>
            <w:sz w:val="20"/>
            <w:szCs w:val="20"/>
          </w:rPr>
          <w:t>d</w:t>
        </w:r>
        <w:r w:rsidR="00E327EC" w:rsidRPr="00E327EC">
          <w:rPr>
            <w:rStyle w:val="Lienhypertexte"/>
            <w:rFonts w:asciiTheme="minorHAnsi" w:hAnsiTheme="minorHAnsi" w:cstheme="minorHAnsi"/>
            <w:i/>
            <w:sz w:val="20"/>
            <w:szCs w:val="20"/>
          </w:rPr>
          <w:t>s</w:t>
        </w:r>
      </w:hyperlink>
    </w:p>
    <w:p w:rsidR="00E327EC" w:rsidRDefault="00E327EC" w:rsidP="003A0976"/>
    <w:p w:rsidR="00E327EC" w:rsidRDefault="00E327EC" w:rsidP="00E327EC">
      <w:pPr>
        <w:pStyle w:val="Paragraphedeliste"/>
        <w:numPr>
          <w:ilvl w:val="0"/>
          <w:numId w:val="36"/>
        </w:numPr>
        <w:rPr>
          <w:rFonts w:asciiTheme="minorHAnsi" w:hAnsiTheme="minorHAnsi" w:cstheme="minorHAnsi"/>
        </w:rPr>
      </w:pPr>
      <w:r>
        <w:rPr>
          <w:rFonts w:asciiTheme="minorHAnsi" w:hAnsiTheme="minorHAnsi" w:cstheme="minorHAnsi"/>
        </w:rPr>
        <w:t>Rappelez ce qu’est un taux directeur ?</w:t>
      </w:r>
    </w:p>
    <w:p w:rsidR="00E327EC" w:rsidRDefault="00E327EC" w:rsidP="00E327EC">
      <w:pPr>
        <w:pStyle w:val="Paragraphedeliste"/>
        <w:numPr>
          <w:ilvl w:val="0"/>
          <w:numId w:val="36"/>
        </w:numPr>
        <w:rPr>
          <w:rFonts w:asciiTheme="minorHAnsi" w:hAnsiTheme="minorHAnsi" w:cstheme="minorHAnsi"/>
        </w:rPr>
      </w:pPr>
      <w:r>
        <w:rPr>
          <w:rFonts w:asciiTheme="minorHAnsi" w:hAnsiTheme="minorHAnsi" w:cstheme="minorHAnsi"/>
        </w:rPr>
        <w:t xml:space="preserve">Comment évolue le taux d’intérêt directeur </w:t>
      </w:r>
      <w:r w:rsidR="00BD3B2D">
        <w:rPr>
          <w:rFonts w:asciiTheme="minorHAnsi" w:hAnsiTheme="minorHAnsi" w:cstheme="minorHAnsi"/>
        </w:rPr>
        <w:t>aux Etats-Unis au début des années 2000 ?</w:t>
      </w:r>
    </w:p>
    <w:p w:rsidR="00BD3B2D" w:rsidRPr="00E327EC" w:rsidRDefault="00BD3B2D" w:rsidP="00BD3B2D">
      <w:pPr>
        <w:pStyle w:val="Paragraphedeliste"/>
        <w:numPr>
          <w:ilvl w:val="0"/>
          <w:numId w:val="36"/>
        </w:numPr>
        <w:rPr>
          <w:rFonts w:asciiTheme="minorHAnsi" w:hAnsiTheme="minorHAnsi" w:cstheme="minorHAnsi"/>
        </w:rPr>
      </w:pPr>
      <w:r>
        <w:rPr>
          <w:rFonts w:asciiTheme="minorHAnsi" w:hAnsiTheme="minorHAnsi" w:cstheme="minorHAnsi"/>
        </w:rPr>
        <w:t>Pourriez-vous expliquer, en utilisant les quatre derniers documents, la crise financière de 2008 aux États-Unis ?</w:t>
      </w:r>
    </w:p>
    <w:p w:rsidR="00BD3B2D" w:rsidRDefault="00BD3B2D" w:rsidP="00BD3B2D">
      <w:pPr>
        <w:rPr>
          <w:rFonts w:asciiTheme="minorHAnsi" w:hAnsiTheme="minorHAnsi" w:cstheme="minorHAnsi"/>
        </w:rPr>
      </w:pPr>
    </w:p>
    <w:p w:rsidR="00AF3729" w:rsidRDefault="00AF3729" w:rsidP="00BD3B2D">
      <w:pPr>
        <w:rPr>
          <w:rFonts w:asciiTheme="minorHAnsi" w:hAnsiTheme="minorHAnsi" w:cstheme="minorHAnsi"/>
        </w:rPr>
      </w:pPr>
    </w:p>
    <w:p w:rsidR="00AF3729" w:rsidRDefault="00AF3729" w:rsidP="00AF3729">
      <w:pPr>
        <w:rPr>
          <w:rFonts w:asciiTheme="minorHAnsi" w:hAnsiTheme="minorHAnsi" w:cstheme="minorHAnsi"/>
        </w:rPr>
      </w:pPr>
      <w:r w:rsidRPr="00AF484D">
        <w:rPr>
          <w:rFonts w:asciiTheme="minorHAnsi" w:hAnsiTheme="minorHAnsi" w:cstheme="minorHAnsi"/>
        </w:rPr>
        <w:t>Document</w:t>
      </w:r>
      <w:r>
        <w:rPr>
          <w:rFonts w:asciiTheme="minorHAnsi" w:hAnsiTheme="minorHAnsi" w:cstheme="minorHAnsi"/>
        </w:rPr>
        <w:t xml:space="preserve"> 10</w:t>
      </w:r>
      <w:r w:rsidRPr="00AF484D">
        <w:rPr>
          <w:rFonts w:asciiTheme="minorHAnsi" w:hAnsiTheme="minorHAnsi" w:cstheme="minorHAnsi"/>
        </w:rPr>
        <w:t xml:space="preserve"> – </w:t>
      </w:r>
      <w:r>
        <w:rPr>
          <w:rFonts w:asciiTheme="minorHAnsi" w:hAnsiTheme="minorHAnsi" w:cstheme="minorHAnsi"/>
        </w:rPr>
        <w:t>Les quatre temps de la bulle spéculative</w:t>
      </w:r>
    </w:p>
    <w:p w:rsidR="00AF3729" w:rsidRDefault="00AF3729" w:rsidP="00BD3B2D">
      <w:pPr>
        <w:rPr>
          <w:rFonts w:asciiTheme="minorHAnsi" w:hAnsiTheme="minorHAnsi" w:cstheme="minorHAnsi"/>
        </w:rPr>
      </w:pPr>
    </w:p>
    <w:p w:rsidR="00AF3729" w:rsidRDefault="00AF3729" w:rsidP="00AF3729">
      <w:pPr>
        <w:jc w:val="both"/>
        <w:rPr>
          <w:rFonts w:asciiTheme="minorHAnsi" w:hAnsiTheme="minorHAnsi" w:cstheme="minorHAnsi"/>
          <w:b/>
          <w:bCs/>
          <w:i/>
          <w:iCs/>
          <w:color w:val="0F243E"/>
        </w:rPr>
      </w:pPr>
      <w:r w:rsidRPr="00AF3729">
        <w:rPr>
          <w:rFonts w:asciiTheme="minorHAnsi" w:hAnsiTheme="minorHAnsi" w:cstheme="minorHAnsi"/>
          <w:color w:val="0F243E"/>
        </w:rPr>
        <w:sym w:font="Wingdings 2" w:char="F06A"/>
      </w:r>
      <w:r w:rsidRPr="00AF3729">
        <w:rPr>
          <w:rFonts w:asciiTheme="minorHAnsi" w:hAnsiTheme="minorHAnsi" w:cstheme="minorHAnsi"/>
          <w:color w:val="0F243E"/>
        </w:rPr>
        <w:t xml:space="preserve"> </w:t>
      </w:r>
      <w:r w:rsidRPr="00AF3729">
        <w:rPr>
          <w:rFonts w:asciiTheme="minorHAnsi" w:hAnsiTheme="minorHAnsi" w:cstheme="minorHAnsi"/>
          <w:b/>
          <w:bCs/>
          <w:i/>
          <w:iCs/>
          <w:color w:val="0F243E"/>
        </w:rPr>
        <w:t>Gestation :</w:t>
      </w:r>
    </w:p>
    <w:p w:rsidR="00AF3729" w:rsidRDefault="00AF3729" w:rsidP="00AF3729">
      <w:pPr>
        <w:jc w:val="both"/>
        <w:rPr>
          <w:rFonts w:asciiTheme="minorHAnsi" w:hAnsiTheme="minorHAnsi" w:cstheme="minorHAnsi"/>
          <w:b/>
          <w:bCs/>
          <w:color w:val="0F243E"/>
        </w:rPr>
      </w:pPr>
      <w:r w:rsidRPr="00AF3729">
        <w:rPr>
          <w:rFonts w:asciiTheme="minorHAnsi" w:hAnsiTheme="minorHAnsi" w:cstheme="minorHAnsi"/>
          <w:color w:val="0F243E"/>
        </w:rPr>
        <w:t>Le sentiment de confiance dans l’économie, l’optimisme des investisseurs avisés quant aux</w:t>
      </w:r>
      <w:r>
        <w:rPr>
          <w:rFonts w:asciiTheme="minorHAnsi" w:hAnsiTheme="minorHAnsi" w:cstheme="minorHAnsi"/>
          <w:color w:val="0F243E"/>
        </w:rPr>
        <w:t xml:space="preserve"> </w:t>
      </w:r>
      <w:r w:rsidRPr="00AF3729">
        <w:rPr>
          <w:rFonts w:asciiTheme="minorHAnsi" w:hAnsiTheme="minorHAnsi" w:cstheme="minorHAnsi"/>
          <w:color w:val="0F243E"/>
        </w:rPr>
        <w:t xml:space="preserve">opportunités de profit offertes par un produit, provoquent une </w:t>
      </w:r>
      <w:r w:rsidRPr="00AF3729">
        <w:rPr>
          <w:rFonts w:asciiTheme="minorHAnsi" w:hAnsiTheme="minorHAnsi" w:cstheme="minorHAnsi"/>
          <w:b/>
          <w:bCs/>
          <w:color w:val="0F243E"/>
        </w:rPr>
        <w:t>hausse modérée du prix d’un actif.</w:t>
      </w:r>
    </w:p>
    <w:p w:rsidR="00AF3729" w:rsidRDefault="00AF3729" w:rsidP="00AF3729">
      <w:pPr>
        <w:jc w:val="both"/>
        <w:rPr>
          <w:rFonts w:asciiTheme="minorHAnsi" w:hAnsiTheme="minorHAnsi" w:cstheme="minorHAnsi"/>
          <w:color w:val="0F243E"/>
        </w:rPr>
      </w:pPr>
      <w:r w:rsidRPr="00AF3729">
        <w:rPr>
          <w:rFonts w:asciiTheme="minorHAnsi" w:hAnsiTheme="minorHAnsi" w:cstheme="minorHAnsi"/>
          <w:color w:val="0F243E"/>
        </w:rPr>
        <w:sym w:font="Wingdings 2" w:char="F06B"/>
      </w:r>
      <w:r w:rsidRPr="00AF3729">
        <w:rPr>
          <w:rFonts w:asciiTheme="minorHAnsi" w:hAnsiTheme="minorHAnsi" w:cstheme="minorHAnsi"/>
          <w:color w:val="0F243E"/>
        </w:rPr>
        <w:t xml:space="preserve"> </w:t>
      </w:r>
      <w:r w:rsidRPr="00AF3729">
        <w:rPr>
          <w:rFonts w:asciiTheme="minorHAnsi" w:hAnsiTheme="minorHAnsi" w:cstheme="minorHAnsi"/>
          <w:b/>
          <w:bCs/>
          <w:i/>
          <w:iCs/>
          <w:color w:val="0F243E"/>
        </w:rPr>
        <w:t xml:space="preserve">Naissance et </w:t>
      </w:r>
      <w:r w:rsidRPr="00AF3729">
        <w:rPr>
          <w:rFonts w:asciiTheme="minorHAnsi" w:hAnsiTheme="minorHAnsi" w:cstheme="minorHAnsi"/>
          <w:color w:val="0F243E"/>
        </w:rPr>
        <w:sym w:font="Wingdings 2" w:char="F06C"/>
      </w:r>
      <w:r w:rsidRPr="00AF3729">
        <w:rPr>
          <w:rFonts w:asciiTheme="minorHAnsi" w:hAnsiTheme="minorHAnsi" w:cstheme="minorHAnsi"/>
          <w:color w:val="0F243E"/>
        </w:rPr>
        <w:t xml:space="preserve"> </w:t>
      </w:r>
      <w:r w:rsidRPr="00AF3729">
        <w:rPr>
          <w:rFonts w:asciiTheme="minorHAnsi" w:hAnsiTheme="minorHAnsi" w:cstheme="minorHAnsi"/>
          <w:b/>
          <w:bCs/>
          <w:i/>
          <w:iCs/>
          <w:color w:val="0F243E"/>
        </w:rPr>
        <w:t xml:space="preserve">Euphorie </w:t>
      </w:r>
      <w:r w:rsidRPr="00AF3729">
        <w:rPr>
          <w:rFonts w:asciiTheme="minorHAnsi" w:hAnsiTheme="minorHAnsi" w:cstheme="minorHAnsi"/>
          <w:color w:val="0F243E"/>
        </w:rPr>
        <w:t>:</w:t>
      </w:r>
    </w:p>
    <w:p w:rsidR="00AF3729" w:rsidRDefault="00AF3729" w:rsidP="00AF3729">
      <w:pPr>
        <w:jc w:val="both"/>
        <w:rPr>
          <w:rFonts w:asciiTheme="minorHAnsi" w:hAnsiTheme="minorHAnsi" w:cstheme="minorHAnsi"/>
          <w:color w:val="0F243E"/>
        </w:rPr>
      </w:pPr>
      <w:r w:rsidRPr="00AF3729">
        <w:rPr>
          <w:rFonts w:asciiTheme="minorHAnsi" w:hAnsiTheme="minorHAnsi" w:cstheme="minorHAnsi"/>
          <w:color w:val="0F243E"/>
        </w:rPr>
        <w:t xml:space="preserve">Ce mouvement initial entraîne des </w:t>
      </w:r>
      <w:r w:rsidRPr="00AF3729">
        <w:rPr>
          <w:rFonts w:asciiTheme="minorHAnsi" w:hAnsiTheme="minorHAnsi" w:cstheme="minorHAnsi"/>
          <w:b/>
          <w:bCs/>
          <w:color w:val="0F243E"/>
        </w:rPr>
        <w:t xml:space="preserve">anticipations de hausses futures </w:t>
      </w:r>
      <w:r w:rsidRPr="00AF3729">
        <w:rPr>
          <w:rFonts w:asciiTheme="minorHAnsi" w:hAnsiTheme="minorHAnsi" w:cstheme="minorHAnsi"/>
          <w:color w:val="0F243E"/>
        </w:rPr>
        <w:t>qui, elles-mêmes, attirent de</w:t>
      </w:r>
      <w:r>
        <w:rPr>
          <w:rFonts w:asciiTheme="minorHAnsi" w:hAnsiTheme="minorHAnsi" w:cstheme="minorHAnsi"/>
          <w:color w:val="0F243E"/>
        </w:rPr>
        <w:t xml:space="preserve"> </w:t>
      </w:r>
      <w:r w:rsidRPr="00AF3729">
        <w:rPr>
          <w:rFonts w:asciiTheme="minorHAnsi" w:hAnsiTheme="minorHAnsi" w:cstheme="minorHAnsi"/>
          <w:color w:val="0F243E"/>
        </w:rPr>
        <w:t>nouveaux investisseurs. Puis la bulle s’autoalimente, notamment grâce à l’endettement : le</w:t>
      </w:r>
      <w:r>
        <w:rPr>
          <w:rFonts w:asciiTheme="minorHAnsi" w:hAnsiTheme="minorHAnsi" w:cstheme="minorHAnsi"/>
          <w:color w:val="0F243E"/>
        </w:rPr>
        <w:t xml:space="preserve"> </w:t>
      </w:r>
      <w:r w:rsidRPr="00AF3729">
        <w:rPr>
          <w:rFonts w:asciiTheme="minorHAnsi" w:hAnsiTheme="minorHAnsi" w:cstheme="minorHAnsi"/>
          <w:color w:val="0F243E"/>
        </w:rPr>
        <w:t>détenteur d’un actif dont le prix monte aura tendance à investir dans l’actif qui l’a enrichi. Plus il</w:t>
      </w:r>
      <w:r>
        <w:rPr>
          <w:rFonts w:asciiTheme="minorHAnsi" w:hAnsiTheme="minorHAnsi" w:cstheme="minorHAnsi"/>
          <w:color w:val="0F243E"/>
        </w:rPr>
        <w:t xml:space="preserve"> </w:t>
      </w:r>
      <w:r w:rsidRPr="00AF3729">
        <w:rPr>
          <w:rFonts w:asciiTheme="minorHAnsi" w:hAnsiTheme="minorHAnsi" w:cstheme="minorHAnsi"/>
          <w:color w:val="0F243E"/>
        </w:rPr>
        <w:t xml:space="preserve">s’enrichit, plus il sera capable d’emprunter. La bulle grossit, entretenue par des </w:t>
      </w:r>
      <w:r w:rsidRPr="00AF3729">
        <w:rPr>
          <w:rFonts w:asciiTheme="minorHAnsi" w:hAnsiTheme="minorHAnsi" w:cstheme="minorHAnsi"/>
          <w:b/>
          <w:bCs/>
          <w:color w:val="0F243E"/>
        </w:rPr>
        <w:t>comportements</w:t>
      </w:r>
      <w:r>
        <w:rPr>
          <w:rFonts w:asciiTheme="minorHAnsi" w:hAnsiTheme="minorHAnsi" w:cstheme="minorHAnsi"/>
          <w:b/>
          <w:bCs/>
          <w:color w:val="0F243E"/>
        </w:rPr>
        <w:t xml:space="preserve"> </w:t>
      </w:r>
      <w:r w:rsidRPr="00AF3729">
        <w:rPr>
          <w:rFonts w:asciiTheme="minorHAnsi" w:hAnsiTheme="minorHAnsi" w:cstheme="minorHAnsi"/>
          <w:b/>
          <w:bCs/>
          <w:color w:val="0F243E"/>
        </w:rPr>
        <w:t xml:space="preserve">« </w:t>
      </w:r>
      <w:r w:rsidRPr="00AF3729">
        <w:rPr>
          <w:rFonts w:asciiTheme="minorHAnsi" w:hAnsiTheme="minorHAnsi" w:cstheme="minorHAnsi"/>
          <w:b/>
          <w:bCs/>
          <w:i/>
          <w:iCs/>
          <w:color w:val="0F243E"/>
        </w:rPr>
        <w:t xml:space="preserve">moutonniers </w:t>
      </w:r>
      <w:r w:rsidRPr="00AF3729">
        <w:rPr>
          <w:rFonts w:asciiTheme="minorHAnsi" w:hAnsiTheme="minorHAnsi" w:cstheme="minorHAnsi"/>
          <w:color w:val="0F243E"/>
        </w:rPr>
        <w:t>».</w:t>
      </w:r>
    </w:p>
    <w:p w:rsidR="00AF3729" w:rsidRDefault="00AF3729" w:rsidP="00AF3729">
      <w:pPr>
        <w:jc w:val="both"/>
        <w:rPr>
          <w:rFonts w:asciiTheme="minorHAnsi" w:hAnsiTheme="minorHAnsi" w:cstheme="minorHAnsi"/>
          <w:color w:val="0F243E"/>
        </w:rPr>
      </w:pPr>
      <w:r w:rsidRPr="00AF3729">
        <w:rPr>
          <w:rFonts w:asciiTheme="minorHAnsi" w:hAnsiTheme="minorHAnsi" w:cstheme="minorHAnsi"/>
          <w:color w:val="0F243E"/>
        </w:rPr>
        <w:sym w:font="Wingdings 2" w:char="F06D"/>
      </w:r>
      <w:r w:rsidRPr="00AF3729">
        <w:rPr>
          <w:rFonts w:asciiTheme="minorHAnsi" w:hAnsiTheme="minorHAnsi" w:cstheme="minorHAnsi"/>
          <w:color w:val="0F243E"/>
        </w:rPr>
        <w:t xml:space="preserve"> </w:t>
      </w:r>
      <w:r w:rsidRPr="00AF3729">
        <w:rPr>
          <w:rFonts w:asciiTheme="minorHAnsi" w:hAnsiTheme="minorHAnsi" w:cstheme="minorHAnsi"/>
          <w:b/>
          <w:bCs/>
          <w:i/>
          <w:iCs/>
          <w:color w:val="0F243E"/>
        </w:rPr>
        <w:t xml:space="preserve">Éclatement </w:t>
      </w:r>
      <w:r w:rsidRPr="00AF3729">
        <w:rPr>
          <w:rFonts w:asciiTheme="minorHAnsi" w:hAnsiTheme="minorHAnsi" w:cstheme="minorHAnsi"/>
          <w:color w:val="0F243E"/>
        </w:rPr>
        <w:t>:</w:t>
      </w:r>
    </w:p>
    <w:p w:rsidR="00AF3729" w:rsidRPr="00AF3729" w:rsidRDefault="00AF3729" w:rsidP="00AF3729">
      <w:pPr>
        <w:jc w:val="both"/>
        <w:rPr>
          <w:rFonts w:asciiTheme="minorHAnsi" w:hAnsiTheme="minorHAnsi" w:cstheme="minorHAnsi"/>
        </w:rPr>
      </w:pPr>
      <w:r w:rsidRPr="00AF3729">
        <w:rPr>
          <w:rFonts w:asciiTheme="minorHAnsi" w:hAnsiTheme="minorHAnsi" w:cstheme="minorHAnsi"/>
          <w:color w:val="0F243E"/>
        </w:rPr>
        <w:t>À l’occasion d’un évènement (mauvaise statistique, faillite…), la bulle financière est suivie d’un</w:t>
      </w:r>
      <w:r>
        <w:rPr>
          <w:rFonts w:asciiTheme="minorHAnsi" w:hAnsiTheme="minorHAnsi" w:cstheme="minorHAnsi"/>
          <w:color w:val="0F243E"/>
        </w:rPr>
        <w:t xml:space="preserve"> </w:t>
      </w:r>
      <w:r w:rsidRPr="00AF3729">
        <w:rPr>
          <w:rFonts w:asciiTheme="minorHAnsi" w:hAnsiTheme="minorHAnsi" w:cstheme="minorHAnsi"/>
          <w:b/>
          <w:bCs/>
          <w:color w:val="0F243E"/>
        </w:rPr>
        <w:t xml:space="preserve">retournement des anticipations </w:t>
      </w:r>
      <w:r w:rsidRPr="00AF3729">
        <w:rPr>
          <w:rFonts w:asciiTheme="minorHAnsi" w:hAnsiTheme="minorHAnsi" w:cstheme="minorHAnsi"/>
          <w:color w:val="0F243E"/>
        </w:rPr>
        <w:t>et d’une chute brutale des prix.</w:t>
      </w:r>
    </w:p>
    <w:p w:rsidR="00AF3729" w:rsidRPr="00AF3729" w:rsidRDefault="00AF3729" w:rsidP="00AF3729">
      <w:pPr>
        <w:rPr>
          <w:rFonts w:asciiTheme="minorHAnsi" w:hAnsiTheme="minorHAnsi" w:cstheme="minorHAnsi"/>
        </w:rPr>
      </w:pPr>
    </w:p>
    <w:p w:rsidR="00AF3729" w:rsidRPr="00BD3B2D" w:rsidRDefault="00AF3729" w:rsidP="00AF3729">
      <w:pPr>
        <w:jc w:val="center"/>
        <w:rPr>
          <w:rFonts w:asciiTheme="minorHAnsi" w:hAnsiTheme="minorHAnsi" w:cstheme="minorHAnsi"/>
        </w:rPr>
      </w:pPr>
      <w:r>
        <w:rPr>
          <w:rFonts w:asciiTheme="minorHAnsi" w:hAnsiTheme="minorHAnsi" w:cstheme="minorHAnsi"/>
          <w:noProof/>
        </w:rPr>
        <w:lastRenderedPageBreak/>
        <w:drawing>
          <wp:inline distT="0" distB="0" distL="0" distR="0">
            <wp:extent cx="3422650" cy="2266950"/>
            <wp:effectExtent l="19050" t="0" r="6350" b="0"/>
            <wp:docPr id="17"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3422650" cy="2266950"/>
                    </a:xfrm>
                    <a:prstGeom prst="rect">
                      <a:avLst/>
                    </a:prstGeom>
                    <a:noFill/>
                    <a:ln w="9525">
                      <a:noFill/>
                      <a:miter lim="800000"/>
                      <a:headEnd/>
                      <a:tailEnd/>
                    </a:ln>
                  </pic:spPr>
                </pic:pic>
              </a:graphicData>
            </a:graphic>
          </wp:inline>
        </w:drawing>
      </w:r>
    </w:p>
    <w:p w:rsidR="00E327EC" w:rsidRPr="00AF3729" w:rsidRDefault="00AF3729" w:rsidP="00AF3729">
      <w:pPr>
        <w:jc w:val="right"/>
        <w:rPr>
          <w:rFonts w:asciiTheme="minorHAnsi" w:hAnsiTheme="minorHAnsi" w:cstheme="minorHAnsi"/>
          <w:i/>
          <w:sz w:val="20"/>
          <w:szCs w:val="20"/>
        </w:rPr>
      </w:pPr>
      <w:r w:rsidRPr="00AF3729">
        <w:rPr>
          <w:rFonts w:asciiTheme="minorHAnsi" w:hAnsiTheme="minorHAnsi" w:cstheme="minorHAnsi"/>
          <w:i/>
          <w:sz w:val="20"/>
          <w:szCs w:val="20"/>
        </w:rPr>
        <w:t xml:space="preserve">Banque de France, </w:t>
      </w:r>
      <w:hyperlink r:id="rId23" w:history="1">
        <w:r w:rsidRPr="00AF3729">
          <w:rPr>
            <w:rStyle w:val="Lienhypertexte"/>
            <w:rFonts w:asciiTheme="minorHAnsi" w:hAnsiTheme="minorHAnsi" w:cstheme="minorHAnsi"/>
            <w:i/>
            <w:sz w:val="20"/>
            <w:szCs w:val="20"/>
          </w:rPr>
          <w:t>ABC de l’économie</w:t>
        </w:r>
      </w:hyperlink>
      <w:r w:rsidRPr="00AF3729">
        <w:rPr>
          <w:rFonts w:asciiTheme="minorHAnsi" w:hAnsiTheme="minorHAnsi" w:cstheme="minorHAnsi"/>
          <w:i/>
          <w:sz w:val="20"/>
          <w:szCs w:val="20"/>
        </w:rPr>
        <w:t>, 28/09/2016</w:t>
      </w:r>
    </w:p>
    <w:p w:rsidR="00AF3729" w:rsidRDefault="00AF3729" w:rsidP="003A0976"/>
    <w:p w:rsidR="00AF3729" w:rsidRDefault="00AF3729" w:rsidP="00AF3729">
      <w:pPr>
        <w:pStyle w:val="Paragraphedeliste"/>
        <w:numPr>
          <w:ilvl w:val="0"/>
          <w:numId w:val="37"/>
        </w:numPr>
      </w:pPr>
      <w:r>
        <w:t>Quelles sont les quatre étapes de la vie d’une bulle spéculative ?</w:t>
      </w:r>
    </w:p>
    <w:p w:rsidR="00AF3729" w:rsidRDefault="00AF3729" w:rsidP="00AF3729">
      <w:pPr>
        <w:pStyle w:val="Paragraphedeliste"/>
        <w:numPr>
          <w:ilvl w:val="0"/>
          <w:numId w:val="37"/>
        </w:numPr>
      </w:pPr>
      <w:r>
        <w:t>Qui sont les acteurs des trois premières étapes de cette vie ?</w:t>
      </w:r>
    </w:p>
    <w:p w:rsidR="00AF3729" w:rsidRDefault="00AF3729" w:rsidP="00AF3729">
      <w:pPr>
        <w:pStyle w:val="Paragraphedeliste"/>
        <w:numPr>
          <w:ilvl w:val="0"/>
          <w:numId w:val="37"/>
        </w:numPr>
      </w:pPr>
      <w:r>
        <w:t>Comment appelle-t-on également les comportements moutonniers ?</w:t>
      </w:r>
    </w:p>
    <w:p w:rsidR="00065A3F" w:rsidRDefault="00065A3F" w:rsidP="00AF3729">
      <w:pPr>
        <w:pStyle w:val="Paragraphedeliste"/>
        <w:numPr>
          <w:ilvl w:val="0"/>
          <w:numId w:val="37"/>
        </w:numPr>
      </w:pPr>
      <w:r>
        <w:t>Quels phénomènes peuvent expliquer l’éclatement de la bulle ?</w:t>
      </w:r>
    </w:p>
    <w:p w:rsidR="00AF3729" w:rsidRDefault="00AF3729" w:rsidP="003A0976"/>
    <w:p w:rsidR="00A07603" w:rsidRDefault="00A07603" w:rsidP="003A0976"/>
    <w:p w:rsidR="00065A3F" w:rsidRDefault="00065A3F" w:rsidP="00065A3F">
      <w:pPr>
        <w:rPr>
          <w:rFonts w:asciiTheme="minorHAnsi" w:hAnsiTheme="minorHAnsi" w:cstheme="minorHAnsi"/>
        </w:rPr>
      </w:pPr>
      <w:r w:rsidRPr="00AF484D">
        <w:rPr>
          <w:rFonts w:asciiTheme="minorHAnsi" w:hAnsiTheme="minorHAnsi" w:cstheme="minorHAnsi"/>
        </w:rPr>
        <w:t>Document</w:t>
      </w:r>
      <w:r>
        <w:rPr>
          <w:rFonts w:asciiTheme="minorHAnsi" w:hAnsiTheme="minorHAnsi" w:cstheme="minorHAnsi"/>
        </w:rPr>
        <w:t xml:space="preserve"> 11</w:t>
      </w:r>
      <w:r w:rsidRPr="00AF484D">
        <w:rPr>
          <w:rFonts w:asciiTheme="minorHAnsi" w:hAnsiTheme="minorHAnsi" w:cstheme="minorHAnsi"/>
        </w:rPr>
        <w:t xml:space="preserve"> – </w:t>
      </w:r>
      <w:r>
        <w:rPr>
          <w:rFonts w:asciiTheme="minorHAnsi" w:hAnsiTheme="minorHAnsi" w:cstheme="minorHAnsi"/>
        </w:rPr>
        <w:t>Les prophéties auto-réalisatrices</w:t>
      </w:r>
    </w:p>
    <w:p w:rsidR="00065A3F" w:rsidRDefault="00065A3F" w:rsidP="003A0976"/>
    <w:p w:rsidR="00A07603" w:rsidRDefault="00A07603" w:rsidP="00A07603">
      <w:pPr>
        <w:jc w:val="both"/>
        <w:rPr>
          <w:rFonts w:asciiTheme="minorHAnsi" w:hAnsiTheme="minorHAnsi" w:cstheme="minorHAnsi"/>
        </w:rPr>
      </w:pPr>
      <w:r>
        <w:rPr>
          <w:rFonts w:asciiTheme="minorHAnsi" w:hAnsiTheme="minorHAnsi" w:cstheme="minorHAnsi"/>
        </w:rPr>
        <w:t>« </w:t>
      </w:r>
      <w:r w:rsidRPr="00A07603">
        <w:rPr>
          <w:rFonts w:asciiTheme="minorHAnsi" w:hAnsiTheme="minorHAnsi" w:cstheme="minorHAnsi"/>
        </w:rPr>
        <w:t>L'opérateur que je suis a beau croire à</w:t>
      </w:r>
      <w:r>
        <w:rPr>
          <w:rFonts w:asciiTheme="minorHAnsi" w:hAnsiTheme="minorHAnsi" w:cstheme="minorHAnsi"/>
        </w:rPr>
        <w:t xml:space="preserve"> une appréciation de l’euro, il ne fait pas </w:t>
      </w:r>
      <w:r w:rsidRPr="00A07603">
        <w:rPr>
          <w:rFonts w:asciiTheme="minorHAnsi" w:hAnsiTheme="minorHAnsi" w:cstheme="minorHAnsi"/>
        </w:rPr>
        <w:t xml:space="preserve">le poids lorsqu'il constate qu'un peu partout les positions des autres intervenants sur le marché des changes sont à la vente de l'euro. </w:t>
      </w:r>
      <w:r>
        <w:rPr>
          <w:rFonts w:asciiTheme="minorHAnsi" w:hAnsiTheme="minorHAnsi" w:cstheme="minorHAnsi"/>
        </w:rPr>
        <w:t>[</w:t>
      </w:r>
      <w:r w:rsidRPr="00A07603">
        <w:rPr>
          <w:rFonts w:asciiTheme="minorHAnsi" w:hAnsiTheme="minorHAnsi" w:cstheme="minorHAnsi"/>
        </w:rPr>
        <w:t>...</w:t>
      </w:r>
      <w:r>
        <w:rPr>
          <w:rFonts w:asciiTheme="minorHAnsi" w:hAnsiTheme="minorHAnsi" w:cstheme="minorHAnsi"/>
        </w:rPr>
        <w:t>]</w:t>
      </w:r>
      <w:r w:rsidRPr="00A07603">
        <w:rPr>
          <w:rFonts w:asciiTheme="minorHAnsi" w:hAnsiTheme="minorHAnsi" w:cstheme="minorHAnsi"/>
        </w:rPr>
        <w:t xml:space="preserve"> Si je suis le seul acheteur</w:t>
      </w:r>
      <w:r>
        <w:rPr>
          <w:rFonts w:asciiTheme="minorHAnsi" w:hAnsiTheme="minorHAnsi" w:cstheme="minorHAnsi"/>
        </w:rPr>
        <w:t xml:space="preserve"> d'euros face à cinquante inter</w:t>
      </w:r>
      <w:r w:rsidRPr="00A07603">
        <w:rPr>
          <w:rFonts w:asciiTheme="minorHAnsi" w:hAnsiTheme="minorHAnsi" w:cstheme="minorHAnsi"/>
        </w:rPr>
        <w:t>venants vendeurs, je suis sûr d'y laisser des plumes...</w:t>
      </w:r>
      <w:r>
        <w:rPr>
          <w:rFonts w:asciiTheme="minorHAnsi" w:hAnsiTheme="minorHAnsi" w:cstheme="minorHAnsi"/>
        </w:rPr>
        <w:t> »</w:t>
      </w:r>
      <w:r w:rsidRPr="00A07603">
        <w:rPr>
          <w:rFonts w:asciiTheme="minorHAnsi" w:hAnsiTheme="minorHAnsi" w:cstheme="minorHAnsi"/>
        </w:rPr>
        <w:t xml:space="preserve"> (Entretien d'un trader dans Libération, 8 septembre 2000) </w:t>
      </w:r>
    </w:p>
    <w:p w:rsidR="00A07603" w:rsidRDefault="00A07603" w:rsidP="00A07603">
      <w:pPr>
        <w:jc w:val="both"/>
        <w:rPr>
          <w:rFonts w:asciiTheme="minorHAnsi" w:hAnsiTheme="minorHAnsi" w:cstheme="minorHAnsi"/>
        </w:rPr>
      </w:pPr>
      <w:r w:rsidRPr="00A07603">
        <w:rPr>
          <w:rFonts w:asciiTheme="minorHAnsi" w:hAnsiTheme="minorHAnsi" w:cstheme="minorHAnsi"/>
        </w:rPr>
        <w:t>Malgré sa conviction personnelle d'une</w:t>
      </w:r>
      <w:r>
        <w:rPr>
          <w:rFonts w:asciiTheme="minorHAnsi" w:hAnsiTheme="minorHAnsi" w:cstheme="minorHAnsi"/>
        </w:rPr>
        <w:t xml:space="preserve"> sous-évaluation, ce cambiste</w:t>
      </w:r>
      <w:r w:rsidR="00065A3F" w:rsidRPr="00065A3F">
        <w:rPr>
          <w:rFonts w:asciiTheme="minorHAnsi" w:hAnsiTheme="minorHAnsi" w:cstheme="minorHAnsi"/>
          <w:vertAlign w:val="superscript"/>
        </w:rPr>
        <w:t>1</w:t>
      </w:r>
      <w:r>
        <w:rPr>
          <w:rFonts w:asciiTheme="minorHAnsi" w:hAnsiTheme="minorHAnsi" w:cstheme="minorHAnsi"/>
        </w:rPr>
        <w:t xml:space="preserve"> joue à la </w:t>
      </w:r>
      <w:r w:rsidRPr="00A07603">
        <w:rPr>
          <w:rFonts w:asciiTheme="minorHAnsi" w:hAnsiTheme="minorHAnsi" w:cstheme="minorHAnsi"/>
        </w:rPr>
        <w:t>baisse et c'est là un comportement parfaitement rationnel : s'il avait acheté de l'euro, il aurait fait des pertes</w:t>
      </w:r>
      <w:r>
        <w:rPr>
          <w:rFonts w:asciiTheme="minorHAnsi" w:hAnsiTheme="minorHAnsi" w:cstheme="minorHAnsi"/>
        </w:rPr>
        <w:t xml:space="preserve"> </w:t>
      </w:r>
      <w:r w:rsidRPr="00A07603">
        <w:rPr>
          <w:rFonts w:asciiTheme="minorHAnsi" w:hAnsiTheme="minorHAnsi" w:cstheme="minorHAnsi"/>
        </w:rPr>
        <w:t>! [...] La vraie croyance ici ne porte pas sur la valeur de l'euro, ma</w:t>
      </w:r>
      <w:r>
        <w:rPr>
          <w:rFonts w:asciiTheme="minorHAnsi" w:hAnsiTheme="minorHAnsi" w:cstheme="minorHAnsi"/>
        </w:rPr>
        <w:t>i</w:t>
      </w:r>
      <w:r w:rsidRPr="00A07603">
        <w:rPr>
          <w:rFonts w:asciiTheme="minorHAnsi" w:hAnsiTheme="minorHAnsi" w:cstheme="minorHAnsi"/>
        </w:rPr>
        <w:t>s sur le fait que</w:t>
      </w:r>
      <w:r>
        <w:rPr>
          <w:rFonts w:asciiTheme="minorHAnsi" w:hAnsiTheme="minorHAnsi" w:cstheme="minorHAnsi"/>
        </w:rPr>
        <w:t xml:space="preserve"> « </w:t>
      </w:r>
      <w:r w:rsidRPr="00A07603">
        <w:rPr>
          <w:rFonts w:asciiTheme="minorHAnsi" w:hAnsiTheme="minorHAnsi" w:cstheme="minorHAnsi"/>
        </w:rPr>
        <w:t>chacun croit dans le caractère baissier du marché</w:t>
      </w:r>
      <w:r w:rsidR="00065A3F">
        <w:rPr>
          <w:rFonts w:asciiTheme="minorHAnsi" w:hAnsiTheme="minorHAnsi" w:cstheme="minorHAnsi"/>
        </w:rPr>
        <w:t>.</w:t>
      </w:r>
      <w:r>
        <w:rPr>
          <w:rFonts w:asciiTheme="minorHAnsi" w:hAnsiTheme="minorHAnsi" w:cstheme="minorHAnsi"/>
        </w:rPr>
        <w:t> »</w:t>
      </w:r>
      <w:r w:rsidRPr="00A07603">
        <w:rPr>
          <w:rFonts w:asciiTheme="minorHAnsi" w:hAnsiTheme="minorHAnsi" w:cstheme="minorHAnsi"/>
        </w:rPr>
        <w:t xml:space="preserve"> Si chacun croit que </w:t>
      </w:r>
      <w:r>
        <w:rPr>
          <w:rFonts w:asciiTheme="minorHAnsi" w:hAnsiTheme="minorHAnsi" w:cstheme="minorHAnsi"/>
        </w:rPr>
        <w:t>« </w:t>
      </w:r>
      <w:r w:rsidRPr="00A07603">
        <w:rPr>
          <w:rFonts w:asciiTheme="minorHAnsi" w:hAnsiTheme="minorHAnsi" w:cstheme="minorHAnsi"/>
        </w:rPr>
        <w:t>chacun croît à la baisse</w:t>
      </w:r>
      <w:r>
        <w:rPr>
          <w:rFonts w:asciiTheme="minorHAnsi" w:hAnsiTheme="minorHAnsi" w:cstheme="minorHAnsi"/>
        </w:rPr>
        <w:t> »</w:t>
      </w:r>
      <w:r w:rsidRPr="00A07603">
        <w:rPr>
          <w:rFonts w:asciiTheme="minorHAnsi" w:hAnsiTheme="minorHAnsi" w:cstheme="minorHAnsi"/>
        </w:rPr>
        <w:t>, alors chacun sera vendeur et le marché baissera effectivement en validant ex post la croyance initiale. On retrouve le phénomène de prophétie auto</w:t>
      </w:r>
      <w:r>
        <w:rPr>
          <w:rFonts w:asciiTheme="minorHAnsi" w:hAnsiTheme="minorHAnsi" w:cstheme="minorHAnsi"/>
        </w:rPr>
        <w:t>-</w:t>
      </w:r>
      <w:r w:rsidRPr="00A07603">
        <w:rPr>
          <w:rFonts w:asciiTheme="minorHAnsi" w:hAnsiTheme="minorHAnsi" w:cstheme="minorHAnsi"/>
        </w:rPr>
        <w:t>réalisatric</w:t>
      </w:r>
      <w:r>
        <w:rPr>
          <w:rFonts w:asciiTheme="minorHAnsi" w:hAnsiTheme="minorHAnsi" w:cstheme="minorHAnsi"/>
        </w:rPr>
        <w:t>e</w:t>
      </w:r>
      <w:r w:rsidRPr="00A07603">
        <w:rPr>
          <w:rFonts w:asciiTheme="minorHAnsi" w:hAnsiTheme="minorHAnsi" w:cstheme="minorHAnsi"/>
        </w:rPr>
        <w:t xml:space="preserve"> qui s'impose à nouveau comme un concept central pour penser la formation d'une croyance collective stabilisée. Dans une telle situation, une bulle émerge sans qu'il ait été nécessaire de supposer la présence d'acteurs irrationnels. </w:t>
      </w:r>
    </w:p>
    <w:p w:rsidR="00A07603" w:rsidRDefault="00A07603" w:rsidP="00A07603">
      <w:pPr>
        <w:rPr>
          <w:rFonts w:asciiTheme="minorHAnsi" w:hAnsiTheme="minorHAnsi" w:cstheme="minorHAnsi"/>
        </w:rPr>
      </w:pPr>
    </w:p>
    <w:p w:rsidR="00A07603" w:rsidRPr="00065A3F" w:rsidRDefault="00A07603" w:rsidP="00065A3F">
      <w:pPr>
        <w:jc w:val="right"/>
        <w:rPr>
          <w:rFonts w:asciiTheme="minorHAnsi" w:hAnsiTheme="minorHAnsi" w:cstheme="minorHAnsi"/>
          <w:i/>
          <w:sz w:val="20"/>
          <w:szCs w:val="20"/>
        </w:rPr>
      </w:pPr>
      <w:r w:rsidRPr="00065A3F">
        <w:rPr>
          <w:rFonts w:asciiTheme="minorHAnsi" w:hAnsiTheme="minorHAnsi" w:cstheme="minorHAnsi"/>
          <w:i/>
          <w:sz w:val="20"/>
          <w:szCs w:val="20"/>
        </w:rPr>
        <w:t xml:space="preserve">André Orléan, « Les croyances et représentations collectives en économie » (dir.), Économie et cognition, 2008. </w:t>
      </w:r>
    </w:p>
    <w:p w:rsidR="00A07603" w:rsidRDefault="00A07603" w:rsidP="00A07603">
      <w:pPr>
        <w:rPr>
          <w:rFonts w:asciiTheme="minorHAnsi" w:hAnsiTheme="minorHAnsi" w:cstheme="minorHAnsi"/>
        </w:rPr>
      </w:pPr>
    </w:p>
    <w:p w:rsidR="00A07603" w:rsidRPr="00065A3F" w:rsidRDefault="00A07603" w:rsidP="00A07603">
      <w:pPr>
        <w:rPr>
          <w:rFonts w:asciiTheme="minorHAnsi" w:hAnsiTheme="minorHAnsi" w:cstheme="minorHAnsi"/>
          <w:sz w:val="20"/>
          <w:szCs w:val="20"/>
        </w:rPr>
      </w:pPr>
      <w:r w:rsidRPr="00065A3F">
        <w:rPr>
          <w:rFonts w:asciiTheme="minorHAnsi" w:hAnsiTheme="minorHAnsi" w:cstheme="minorHAnsi"/>
          <w:sz w:val="20"/>
          <w:szCs w:val="20"/>
        </w:rPr>
        <w:t>1. Spécialiste des opérations de change sur les marchés financiers</w:t>
      </w:r>
    </w:p>
    <w:p w:rsidR="00A07603" w:rsidRPr="00A07603" w:rsidRDefault="00A07603" w:rsidP="00A07603">
      <w:pPr>
        <w:rPr>
          <w:rFonts w:asciiTheme="minorHAnsi" w:hAnsiTheme="minorHAnsi" w:cstheme="minorHAnsi"/>
        </w:rPr>
      </w:pPr>
    </w:p>
    <w:p w:rsidR="00A07603" w:rsidRPr="00065A3F" w:rsidRDefault="00A07603" w:rsidP="00065A3F">
      <w:pPr>
        <w:pStyle w:val="Paragraphedeliste"/>
        <w:numPr>
          <w:ilvl w:val="0"/>
          <w:numId w:val="38"/>
        </w:numPr>
        <w:jc w:val="both"/>
        <w:rPr>
          <w:rFonts w:asciiTheme="minorHAnsi" w:hAnsiTheme="minorHAnsi" w:cstheme="minorHAnsi"/>
        </w:rPr>
      </w:pPr>
      <w:r w:rsidRPr="00065A3F">
        <w:rPr>
          <w:rFonts w:asciiTheme="minorHAnsi" w:hAnsiTheme="minorHAnsi" w:cstheme="minorHAnsi"/>
        </w:rPr>
        <w:t>Comment le trader explique-t-il son choix de vendre de l'euro même s'il pense que la devise est déjà sous-évaluée ?</w:t>
      </w:r>
    </w:p>
    <w:p w:rsidR="00A07603" w:rsidRPr="00065A3F" w:rsidRDefault="00A07603" w:rsidP="00065A3F">
      <w:pPr>
        <w:pStyle w:val="Paragraphedeliste"/>
        <w:numPr>
          <w:ilvl w:val="0"/>
          <w:numId w:val="38"/>
        </w:numPr>
        <w:jc w:val="both"/>
        <w:rPr>
          <w:rFonts w:asciiTheme="minorHAnsi" w:hAnsiTheme="minorHAnsi" w:cstheme="minorHAnsi"/>
        </w:rPr>
      </w:pPr>
      <w:r w:rsidRPr="00065A3F">
        <w:rPr>
          <w:rFonts w:asciiTheme="minorHAnsi" w:hAnsiTheme="minorHAnsi" w:cstheme="minorHAnsi"/>
        </w:rPr>
        <w:t>Quelle explication l'auteur donne t-il au comportement du cambiste?</w:t>
      </w:r>
    </w:p>
    <w:p w:rsidR="00A07603" w:rsidRPr="00065A3F" w:rsidRDefault="00A07603" w:rsidP="00065A3F">
      <w:pPr>
        <w:pStyle w:val="Paragraphedeliste"/>
        <w:numPr>
          <w:ilvl w:val="0"/>
          <w:numId w:val="38"/>
        </w:numPr>
        <w:jc w:val="both"/>
        <w:rPr>
          <w:rFonts w:asciiTheme="minorHAnsi" w:hAnsiTheme="minorHAnsi" w:cstheme="minorHAnsi"/>
        </w:rPr>
      </w:pPr>
      <w:r w:rsidRPr="00065A3F">
        <w:rPr>
          <w:rFonts w:asciiTheme="minorHAnsi" w:hAnsiTheme="minorHAnsi" w:cstheme="minorHAnsi"/>
        </w:rPr>
        <w:t>En quoi ces comportements mimétiques expliquent-ils la formation de bulles spéculatives?</w:t>
      </w:r>
    </w:p>
    <w:p w:rsidR="00AF3729" w:rsidRDefault="00AF3729" w:rsidP="00A07603">
      <w:pPr>
        <w:rPr>
          <w:rFonts w:asciiTheme="minorHAnsi" w:hAnsiTheme="minorHAnsi" w:cstheme="minorHAnsi"/>
        </w:rPr>
      </w:pPr>
    </w:p>
    <w:p w:rsidR="00065A3F" w:rsidRDefault="00065A3F" w:rsidP="00A07603">
      <w:pPr>
        <w:rPr>
          <w:rFonts w:asciiTheme="minorHAnsi" w:hAnsiTheme="minorHAnsi" w:cstheme="minorHAnsi"/>
        </w:rPr>
      </w:pPr>
    </w:p>
    <w:p w:rsidR="00902325" w:rsidRDefault="00902325">
      <w:pPr>
        <w:spacing w:after="200" w:line="276" w:lineRule="auto"/>
        <w:rPr>
          <w:rFonts w:asciiTheme="minorHAnsi" w:hAnsiTheme="minorHAnsi" w:cstheme="minorHAnsi"/>
        </w:rPr>
      </w:pPr>
      <w:r>
        <w:rPr>
          <w:rFonts w:asciiTheme="minorHAnsi" w:hAnsiTheme="minorHAnsi" w:cstheme="minorHAnsi"/>
        </w:rPr>
        <w:br w:type="page"/>
      </w:r>
    </w:p>
    <w:p w:rsidR="00420D3C" w:rsidRDefault="00420D3C" w:rsidP="00420D3C">
      <w:pPr>
        <w:rPr>
          <w:rFonts w:asciiTheme="minorHAnsi" w:hAnsiTheme="minorHAnsi" w:cstheme="minorHAnsi"/>
        </w:rPr>
      </w:pPr>
      <w:r w:rsidRPr="00AF484D">
        <w:rPr>
          <w:rFonts w:asciiTheme="minorHAnsi" w:hAnsiTheme="minorHAnsi" w:cstheme="minorHAnsi"/>
        </w:rPr>
        <w:lastRenderedPageBreak/>
        <w:t>Document</w:t>
      </w:r>
      <w:r>
        <w:rPr>
          <w:rFonts w:asciiTheme="minorHAnsi" w:hAnsiTheme="minorHAnsi" w:cstheme="minorHAnsi"/>
        </w:rPr>
        <w:t xml:space="preserve"> 12</w:t>
      </w:r>
      <w:r w:rsidRPr="00AF484D">
        <w:rPr>
          <w:rFonts w:asciiTheme="minorHAnsi" w:hAnsiTheme="minorHAnsi" w:cstheme="minorHAnsi"/>
        </w:rPr>
        <w:t xml:space="preserve"> – </w:t>
      </w:r>
      <w:r>
        <w:rPr>
          <w:rFonts w:asciiTheme="minorHAnsi" w:hAnsiTheme="minorHAnsi" w:cstheme="minorHAnsi"/>
        </w:rPr>
        <w:t>L’éclatement de la bulle</w:t>
      </w:r>
    </w:p>
    <w:p w:rsidR="00420D3C" w:rsidRDefault="00420D3C" w:rsidP="00A07603">
      <w:pPr>
        <w:rPr>
          <w:rFonts w:asciiTheme="minorHAnsi" w:hAnsiTheme="minorHAnsi" w:cstheme="minorHAnsi"/>
        </w:rPr>
      </w:pPr>
    </w:p>
    <w:p w:rsidR="00065A3F" w:rsidRDefault="00065A3F" w:rsidP="00420D3C">
      <w:pPr>
        <w:jc w:val="both"/>
        <w:rPr>
          <w:rFonts w:asciiTheme="minorHAnsi" w:hAnsiTheme="minorHAnsi" w:cstheme="minorHAnsi"/>
        </w:rPr>
      </w:pPr>
      <w:r>
        <w:rPr>
          <w:rFonts w:asciiTheme="minorHAnsi" w:hAnsiTheme="minorHAnsi" w:cstheme="minorHAnsi"/>
        </w:rPr>
        <w:t>Au plus haut du marché, le mouvement spéculatif semble hésiter puisque les nouveaux spéculateurs ne font que remplacer les investisseurs qui abandonnent le jeu. Les prix commencent alors à se stabiliser. Il peut s’en suivre une période incertaine de « détresse financière » […] Une entreprise est dite en détresse financière quand il y a une possibilité – même faible et lointaine – qu’elle ne puisse faire face à ses engagements. Pour une économie prise dans son ensemble, cela équivaut</w:t>
      </w:r>
      <w:r w:rsidR="00B95E85">
        <w:rPr>
          <w:rFonts w:asciiTheme="minorHAnsi" w:hAnsiTheme="minorHAnsi" w:cstheme="minorHAnsi"/>
        </w:rPr>
        <w:t xml:space="preserve"> à la prise de conscience par la majorité des spéculateurs qu’une course à la liquidité – pour vendre ses actifs et récupérer sa mise – va commencer, aux conséquences désastreuses sur les prix des biens et des titres, tout en laissant certains dans l’incapacité de rembourser leurs emprunts. Si la détresse persiste, les spéculateurs s’aperçoivent, plus ou moins vite, que le marché ne peut aller plus haut. Il est temps de se retirer. La course à la liquidité peut alors vite tourner à la débâcle.</w:t>
      </w:r>
    </w:p>
    <w:p w:rsidR="00B95E85" w:rsidRDefault="00B95E85" w:rsidP="00420D3C">
      <w:pPr>
        <w:jc w:val="both"/>
        <w:rPr>
          <w:rFonts w:asciiTheme="minorHAnsi" w:hAnsiTheme="minorHAnsi" w:cstheme="minorHAnsi"/>
        </w:rPr>
      </w:pPr>
      <w:r>
        <w:rPr>
          <w:rFonts w:asciiTheme="minorHAnsi" w:hAnsiTheme="minorHAnsi" w:cstheme="minorHAnsi"/>
        </w:rPr>
        <w:t>Le signal spécifique, qui marque le début de la crise, peut être la faillite d’une banque ou d’une entreprise, prise au piège du crédit, la révélation d’une fraude ou d’un détournement commis par une personne cherchant à échapper à la détresse par des moyens malhonnêtes, ou une baisse du prix de l’objet initial à la spéculation, qui, pour un temps, est le seul à être jugé surestimé. La course a commencé, les prix baissent. Les faillites se multiplient. La liquidation […] le plus souvent dégénère en panique quand on s’aperçoit qu’il n’y a pas suffisamment d’argent en circulation pour permettre à tous de réaliser les plus-values attendues.</w:t>
      </w:r>
    </w:p>
    <w:p w:rsidR="00B95E85" w:rsidRDefault="00B95E85" w:rsidP="00A07603">
      <w:pPr>
        <w:rPr>
          <w:rFonts w:asciiTheme="minorHAnsi" w:hAnsiTheme="minorHAnsi" w:cstheme="minorHAnsi"/>
        </w:rPr>
      </w:pPr>
    </w:p>
    <w:p w:rsidR="00B95E85" w:rsidRPr="00420D3C" w:rsidRDefault="00B95E85" w:rsidP="00420D3C">
      <w:pPr>
        <w:jc w:val="right"/>
        <w:rPr>
          <w:rFonts w:asciiTheme="minorHAnsi" w:hAnsiTheme="minorHAnsi" w:cstheme="minorHAnsi"/>
          <w:i/>
          <w:sz w:val="20"/>
          <w:szCs w:val="20"/>
        </w:rPr>
      </w:pPr>
      <w:r w:rsidRPr="00420D3C">
        <w:rPr>
          <w:rFonts w:asciiTheme="minorHAnsi" w:hAnsiTheme="minorHAnsi" w:cstheme="minorHAnsi"/>
          <w:i/>
          <w:sz w:val="20"/>
          <w:szCs w:val="20"/>
        </w:rPr>
        <w:t>Charles Kindleberger, Histoire mondiale de la spéculation financière, Editions Valor, 2004</w:t>
      </w:r>
    </w:p>
    <w:p w:rsidR="00B95E85" w:rsidRDefault="00B95E85" w:rsidP="00A07603">
      <w:pPr>
        <w:rPr>
          <w:rFonts w:asciiTheme="minorHAnsi" w:hAnsiTheme="minorHAnsi" w:cstheme="minorHAnsi"/>
        </w:rPr>
      </w:pPr>
    </w:p>
    <w:p w:rsidR="00B95E85" w:rsidRPr="00420D3C" w:rsidRDefault="00B95E85" w:rsidP="00420D3C">
      <w:pPr>
        <w:pStyle w:val="Paragraphedeliste"/>
        <w:numPr>
          <w:ilvl w:val="0"/>
          <w:numId w:val="39"/>
        </w:numPr>
        <w:rPr>
          <w:rFonts w:asciiTheme="minorHAnsi" w:hAnsiTheme="minorHAnsi" w:cstheme="minorHAnsi"/>
        </w:rPr>
      </w:pPr>
      <w:r w:rsidRPr="00420D3C">
        <w:rPr>
          <w:rFonts w:asciiTheme="minorHAnsi" w:hAnsiTheme="minorHAnsi" w:cstheme="minorHAnsi"/>
        </w:rPr>
        <w:t>Que signifie une « course à la liquidité » ? Comment celle-ci se manifeste-t-elle ?</w:t>
      </w:r>
    </w:p>
    <w:p w:rsidR="00B95E85" w:rsidRPr="00420D3C" w:rsidRDefault="00B95E85" w:rsidP="00420D3C">
      <w:pPr>
        <w:pStyle w:val="Paragraphedeliste"/>
        <w:numPr>
          <w:ilvl w:val="0"/>
          <w:numId w:val="39"/>
        </w:numPr>
        <w:rPr>
          <w:rFonts w:asciiTheme="minorHAnsi" w:hAnsiTheme="minorHAnsi" w:cstheme="minorHAnsi"/>
        </w:rPr>
      </w:pPr>
      <w:r w:rsidRPr="00420D3C">
        <w:rPr>
          <w:rFonts w:asciiTheme="minorHAnsi" w:hAnsiTheme="minorHAnsi" w:cstheme="minorHAnsi"/>
        </w:rPr>
        <w:t>Quels peuvent être les éléments déclencheurs d’une crise ?</w:t>
      </w:r>
    </w:p>
    <w:p w:rsidR="00B95E85" w:rsidRDefault="00B95E85" w:rsidP="00A07603">
      <w:pPr>
        <w:rPr>
          <w:rFonts w:asciiTheme="minorHAnsi" w:hAnsiTheme="minorHAnsi" w:cstheme="minorHAnsi"/>
        </w:rPr>
      </w:pPr>
    </w:p>
    <w:p w:rsidR="00065A3F" w:rsidRPr="00A07603" w:rsidRDefault="00065A3F" w:rsidP="00A07603">
      <w:pPr>
        <w:rPr>
          <w:rFonts w:asciiTheme="minorHAnsi" w:hAnsiTheme="minorHAnsi" w:cstheme="minorHAnsi"/>
        </w:rPr>
      </w:pP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sidR="005A474B">
        <w:rPr>
          <w:rFonts w:ascii="Calibri Light" w:hAnsi="Calibri Light"/>
          <w:b/>
          <w:color w:val="000000" w:themeColor="text1"/>
          <w:sz w:val="32"/>
          <w:szCs w:val="32"/>
        </w:rPr>
        <w:t>2</w:t>
      </w:r>
      <w:r w:rsidR="00F35289">
        <w:rPr>
          <w:rFonts w:ascii="Calibri Light" w:hAnsi="Calibri Light"/>
          <w:b/>
          <w:color w:val="000000" w:themeColor="text1"/>
          <w:sz w:val="32"/>
          <w:szCs w:val="32"/>
        </w:rPr>
        <w:t xml:space="preserve"> h</w:t>
      </w:r>
      <w:r w:rsidRPr="00506EBE">
        <w:rPr>
          <w:rFonts w:ascii="Calibri Light" w:hAnsi="Calibri Light"/>
          <w:b/>
          <w:color w:val="000000" w:themeColor="text1"/>
          <w:sz w:val="32"/>
          <w:szCs w:val="32"/>
        </w:rPr>
        <w:t>)</w:t>
      </w:r>
    </w:p>
    <w:p w:rsidR="008724F3" w:rsidRDefault="008724F3" w:rsidP="00F35289">
      <w:pPr>
        <w:jc w:val="center"/>
        <w:rPr>
          <w:rFonts w:asciiTheme="minorHAnsi" w:hAnsiTheme="minorHAnsi" w:cstheme="minorHAnsi"/>
          <w:b/>
        </w:rPr>
      </w:pPr>
    </w:p>
    <w:p w:rsidR="008724F3" w:rsidRDefault="008724F3" w:rsidP="00F35289">
      <w:pPr>
        <w:jc w:val="center"/>
        <w:rPr>
          <w:rFonts w:asciiTheme="minorHAnsi" w:hAnsiTheme="minorHAnsi" w:cstheme="minorHAnsi"/>
          <w:b/>
        </w:rPr>
      </w:pPr>
    </w:p>
    <w:p w:rsidR="00F35289" w:rsidRPr="008724F3" w:rsidRDefault="00342B9C" w:rsidP="00F35289">
      <w:pPr>
        <w:jc w:val="center"/>
        <w:rPr>
          <w:rFonts w:asciiTheme="minorHAnsi" w:hAnsiTheme="minorHAnsi" w:cstheme="minorHAnsi"/>
          <w:b/>
        </w:rPr>
      </w:pPr>
      <w:r>
        <w:rPr>
          <w:rFonts w:asciiTheme="minorHAnsi" w:hAnsiTheme="minorHAnsi" w:cstheme="minorHAnsi"/>
          <w:b/>
        </w:rPr>
        <w:t>Recherche</w:t>
      </w:r>
    </w:p>
    <w:p w:rsidR="00F35289" w:rsidRPr="008724F3" w:rsidRDefault="00F35289" w:rsidP="001F5F95">
      <w:pPr>
        <w:rPr>
          <w:rFonts w:asciiTheme="minorHAnsi" w:hAnsiTheme="minorHAnsi" w:cstheme="minorHAnsi"/>
        </w:rPr>
      </w:pPr>
    </w:p>
    <w:p w:rsidR="009E694C" w:rsidRPr="008724F3" w:rsidRDefault="00342B9C" w:rsidP="00342B9C">
      <w:pPr>
        <w:jc w:val="both"/>
        <w:rPr>
          <w:rFonts w:asciiTheme="minorHAnsi" w:hAnsiTheme="minorHAnsi" w:cstheme="minorHAnsi"/>
        </w:rPr>
      </w:pPr>
      <w:r>
        <w:rPr>
          <w:rFonts w:asciiTheme="minorHAnsi" w:hAnsiTheme="minorHAnsi" w:cstheme="minorHAnsi"/>
        </w:rPr>
        <w:t xml:space="preserve">En vous aidant des documents et de vos connaissances personnelles, collectez </w:t>
      </w:r>
      <w:r w:rsidR="005A474B">
        <w:rPr>
          <w:rFonts w:asciiTheme="minorHAnsi" w:hAnsiTheme="minorHAnsi" w:cstheme="minorHAnsi"/>
        </w:rPr>
        <w:t xml:space="preserve">en ligne </w:t>
      </w:r>
      <w:r>
        <w:rPr>
          <w:rFonts w:asciiTheme="minorHAnsi" w:hAnsiTheme="minorHAnsi" w:cstheme="minorHAnsi"/>
        </w:rPr>
        <w:t>les informations nécessaires pour juger de la situation financière d’aujourd’hui. Pouvez-vous trouver des éléments permettant de penser qu’une nouvelle crise financière pourrait se déclencher</w:t>
      </w:r>
      <w:r w:rsidR="005A474B">
        <w:rPr>
          <w:rFonts w:asciiTheme="minorHAnsi" w:hAnsiTheme="minorHAnsi" w:cstheme="minorHAnsi"/>
        </w:rPr>
        <w:t> ?</w:t>
      </w:r>
    </w:p>
    <w:sectPr w:rsidR="009E694C" w:rsidRPr="008724F3" w:rsidSect="00065A3F">
      <w:headerReference w:type="default" r:id="rId24"/>
      <w:footerReference w:type="default" r:id="rId2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4344" w:rsidRDefault="00E54344" w:rsidP="00F35289">
      <w:r>
        <w:separator/>
      </w:r>
    </w:p>
  </w:endnote>
  <w:endnote w:type="continuationSeparator" w:id="0">
    <w:p w:rsidR="00E54344" w:rsidRDefault="00E54344" w:rsidP="00F35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Narrow-Bold">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3F" w:rsidRPr="00F85513" w:rsidRDefault="00065A3F" w:rsidP="005F68EC">
    <w:pPr>
      <w:pStyle w:val="En-tte"/>
      <w:pBdr>
        <w:bottom w:val="single" w:sz="12" w:space="1" w:color="auto"/>
      </w:pBdr>
      <w:jc w:val="right"/>
      <w:rPr>
        <w:sz w:val="16"/>
        <w:szCs w:val="16"/>
      </w:rPr>
    </w:pPr>
  </w:p>
  <w:p w:rsidR="00065A3F" w:rsidRDefault="00065A3F" w:rsidP="00065A3F">
    <w:pPr>
      <w:pStyle w:val="Pieddepage"/>
      <w:jc w:val="right"/>
    </w:pPr>
    <w:r>
      <w:t xml:space="preserve">Page </w:t>
    </w:r>
    <w:fldSimple w:instr=" PAGE ">
      <w:r w:rsidR="00EE76E0">
        <w:rPr>
          <w:noProof/>
        </w:rPr>
        <w:t>10</w:t>
      </w:r>
    </w:fldSimple>
    <w:r>
      <w:t xml:space="preserve"> sur </w:t>
    </w:r>
    <w:fldSimple w:instr=" NUMPAGES ">
      <w:r w:rsidR="00EE76E0">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4344" w:rsidRDefault="00E54344" w:rsidP="00F35289">
      <w:r>
        <w:separator/>
      </w:r>
    </w:p>
  </w:footnote>
  <w:footnote w:type="continuationSeparator" w:id="0">
    <w:p w:rsidR="00E54344" w:rsidRDefault="00E54344" w:rsidP="00F3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A3F" w:rsidRPr="00F85513" w:rsidRDefault="00065A3F" w:rsidP="00065A3F">
    <w:pPr>
      <w:pStyle w:val="En-tte"/>
      <w:pBdr>
        <w:bottom w:val="single" w:sz="12" w:space="1" w:color="auto"/>
      </w:pBdr>
      <w:jc w:val="right"/>
      <w:rPr>
        <w:sz w:val="16"/>
        <w:szCs w:val="16"/>
      </w:rPr>
    </w:pPr>
    <w:r>
      <w:rPr>
        <w:sz w:val="16"/>
        <w:szCs w:val="16"/>
      </w:rPr>
      <w:t>Comment expliquer les crises financières et réguler le système financier ?</w:t>
    </w:r>
    <w:r w:rsidRPr="00F85513">
      <w:rPr>
        <w:sz w:val="16"/>
        <w:szCs w:val="16"/>
      </w:rPr>
      <w:t xml:space="preserve"> – </w:t>
    </w:r>
    <w:r>
      <w:rPr>
        <w:sz w:val="16"/>
        <w:szCs w:val="16"/>
      </w:rPr>
      <w:t>Crises financières et bulles spéculatives</w:t>
    </w:r>
    <w:r w:rsidRPr="00F85513">
      <w:rPr>
        <w:sz w:val="16"/>
        <w:szCs w:val="16"/>
      </w:rPr>
      <w:t xml:space="preserve"> (</w:t>
    </w:r>
    <w:r>
      <w:rPr>
        <w:sz w:val="16"/>
        <w:szCs w:val="16"/>
      </w:rPr>
      <w:t>2</w:t>
    </w:r>
    <w:r w:rsidRPr="00F85513">
      <w:rPr>
        <w:sz w:val="16"/>
        <w:szCs w:val="16"/>
      </w:rPr>
      <w:t>/</w:t>
    </w:r>
    <w:r>
      <w:rPr>
        <w:sz w:val="16"/>
        <w:szCs w:val="16"/>
      </w:rPr>
      <w:t>5</w:t>
    </w:r>
    <w:r w:rsidRPr="00F85513">
      <w:rPr>
        <w:sz w:val="16"/>
        <w:szCs w:val="16"/>
      </w:rPr>
      <w:t xml:space="preserve">) - Page </w:t>
    </w:r>
    <w:r w:rsidR="003C7030" w:rsidRPr="00F85513">
      <w:rPr>
        <w:sz w:val="16"/>
        <w:szCs w:val="16"/>
      </w:rPr>
      <w:fldChar w:fldCharType="begin"/>
    </w:r>
    <w:r w:rsidRPr="00F85513">
      <w:rPr>
        <w:sz w:val="16"/>
        <w:szCs w:val="16"/>
      </w:rPr>
      <w:instrText xml:space="preserve"> PAGE </w:instrText>
    </w:r>
    <w:r w:rsidR="003C7030" w:rsidRPr="00F85513">
      <w:rPr>
        <w:sz w:val="16"/>
        <w:szCs w:val="16"/>
      </w:rPr>
      <w:fldChar w:fldCharType="separate"/>
    </w:r>
    <w:r w:rsidR="00EE76E0">
      <w:rPr>
        <w:noProof/>
        <w:sz w:val="16"/>
        <w:szCs w:val="16"/>
      </w:rPr>
      <w:t>10</w:t>
    </w:r>
    <w:r w:rsidR="003C7030" w:rsidRPr="00F85513">
      <w:rPr>
        <w:sz w:val="16"/>
        <w:szCs w:val="16"/>
      </w:rPr>
      <w:fldChar w:fldCharType="end"/>
    </w:r>
    <w:r w:rsidRPr="00F85513">
      <w:rPr>
        <w:sz w:val="16"/>
        <w:szCs w:val="16"/>
      </w:rPr>
      <w:t xml:space="preserve"> sur </w:t>
    </w:r>
    <w:r w:rsidR="003C7030" w:rsidRPr="00F85513">
      <w:rPr>
        <w:sz w:val="16"/>
        <w:szCs w:val="16"/>
      </w:rPr>
      <w:fldChar w:fldCharType="begin"/>
    </w:r>
    <w:r w:rsidRPr="00F85513">
      <w:rPr>
        <w:sz w:val="16"/>
        <w:szCs w:val="16"/>
      </w:rPr>
      <w:instrText xml:space="preserve"> NUMPAGES </w:instrText>
    </w:r>
    <w:r w:rsidR="003C7030" w:rsidRPr="00F85513">
      <w:rPr>
        <w:sz w:val="16"/>
        <w:szCs w:val="16"/>
      </w:rPr>
      <w:fldChar w:fldCharType="separate"/>
    </w:r>
    <w:r w:rsidR="00EE76E0">
      <w:rPr>
        <w:noProof/>
        <w:sz w:val="16"/>
        <w:szCs w:val="16"/>
      </w:rPr>
      <w:t>10</w:t>
    </w:r>
    <w:r w:rsidR="003C7030" w:rsidRPr="00F85513">
      <w:rPr>
        <w:sz w:val="16"/>
        <w:szCs w:val="16"/>
      </w:rPr>
      <w:fldChar w:fldCharType="end"/>
    </w:r>
  </w:p>
  <w:p w:rsidR="00065A3F" w:rsidRDefault="00065A3F" w:rsidP="00065A3F">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A34F8"/>
    <w:multiLevelType w:val="hybridMultilevel"/>
    <w:tmpl w:val="B218B5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BD2C47"/>
    <w:multiLevelType w:val="hybridMultilevel"/>
    <w:tmpl w:val="B3680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140715"/>
    <w:multiLevelType w:val="hybridMultilevel"/>
    <w:tmpl w:val="CBD66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FB2310"/>
    <w:multiLevelType w:val="hybridMultilevel"/>
    <w:tmpl w:val="CEB6A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B2595A"/>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3816364"/>
    <w:multiLevelType w:val="hybridMultilevel"/>
    <w:tmpl w:val="58C291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4275CF0"/>
    <w:multiLevelType w:val="multilevel"/>
    <w:tmpl w:val="58F6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CF6C4C"/>
    <w:multiLevelType w:val="hybridMultilevel"/>
    <w:tmpl w:val="CE36A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63353F1"/>
    <w:multiLevelType w:val="hybridMultilevel"/>
    <w:tmpl w:val="074E7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6915ECD"/>
    <w:multiLevelType w:val="hybridMultilevel"/>
    <w:tmpl w:val="5A909F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3E26A5"/>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C407DA0"/>
    <w:multiLevelType w:val="hybridMultilevel"/>
    <w:tmpl w:val="4C641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D935095"/>
    <w:multiLevelType w:val="hybridMultilevel"/>
    <w:tmpl w:val="71E042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1823987"/>
    <w:multiLevelType w:val="hybridMultilevel"/>
    <w:tmpl w:val="80ACCA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46F7BA3"/>
    <w:multiLevelType w:val="hybridMultilevel"/>
    <w:tmpl w:val="EA44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47B4670"/>
    <w:multiLevelType w:val="hybridMultilevel"/>
    <w:tmpl w:val="0208322C"/>
    <w:lvl w:ilvl="0" w:tplc="401CCE8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48F3C52"/>
    <w:multiLevelType w:val="hybridMultilevel"/>
    <w:tmpl w:val="8F705F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4BE53F6"/>
    <w:multiLevelType w:val="hybridMultilevel"/>
    <w:tmpl w:val="81121E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25206A34"/>
    <w:multiLevelType w:val="hybridMultilevel"/>
    <w:tmpl w:val="3D0676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0B71A09"/>
    <w:multiLevelType w:val="hybridMultilevel"/>
    <w:tmpl w:val="F294B1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362064D"/>
    <w:multiLevelType w:val="hybridMultilevel"/>
    <w:tmpl w:val="CD0037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3CFA0A0B"/>
    <w:multiLevelType w:val="hybridMultilevel"/>
    <w:tmpl w:val="02524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3D2915C9"/>
    <w:multiLevelType w:val="hybridMultilevel"/>
    <w:tmpl w:val="EF66D8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2F458FA"/>
    <w:multiLevelType w:val="multilevel"/>
    <w:tmpl w:val="7BA2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8A7EF6"/>
    <w:multiLevelType w:val="hybridMultilevel"/>
    <w:tmpl w:val="F04663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8435A7F"/>
    <w:multiLevelType w:val="hybridMultilevel"/>
    <w:tmpl w:val="19A894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CA04166"/>
    <w:multiLevelType w:val="hybridMultilevel"/>
    <w:tmpl w:val="2C5E6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2011DDF"/>
    <w:multiLevelType w:val="hybridMultilevel"/>
    <w:tmpl w:val="57001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B0D2DB8"/>
    <w:multiLevelType w:val="hybridMultilevel"/>
    <w:tmpl w:val="391679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D897E5E"/>
    <w:multiLevelType w:val="hybridMultilevel"/>
    <w:tmpl w:val="3E8601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E627192"/>
    <w:multiLevelType w:val="hybridMultilevel"/>
    <w:tmpl w:val="98686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FB41CEC"/>
    <w:multiLevelType w:val="hybridMultilevel"/>
    <w:tmpl w:val="873C9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8"/>
  </w:num>
  <w:num w:numId="2">
    <w:abstractNumId w:val="15"/>
  </w:num>
  <w:num w:numId="3">
    <w:abstractNumId w:val="4"/>
  </w:num>
  <w:num w:numId="4">
    <w:abstractNumId w:val="29"/>
  </w:num>
  <w:num w:numId="5">
    <w:abstractNumId w:val="38"/>
  </w:num>
  <w:num w:numId="6">
    <w:abstractNumId w:val="21"/>
  </w:num>
  <w:num w:numId="7">
    <w:abstractNumId w:val="20"/>
  </w:num>
  <w:num w:numId="8">
    <w:abstractNumId w:val="36"/>
  </w:num>
  <w:num w:numId="9">
    <w:abstractNumId w:val="32"/>
  </w:num>
  <w:num w:numId="10">
    <w:abstractNumId w:val="1"/>
  </w:num>
  <w:num w:numId="11">
    <w:abstractNumId w:val="5"/>
  </w:num>
  <w:num w:numId="12">
    <w:abstractNumId w:val="35"/>
  </w:num>
  <w:num w:numId="13">
    <w:abstractNumId w:val="8"/>
  </w:num>
  <w:num w:numId="14">
    <w:abstractNumId w:val="2"/>
  </w:num>
  <w:num w:numId="15">
    <w:abstractNumId w:val="19"/>
  </w:num>
  <w:num w:numId="16">
    <w:abstractNumId w:val="26"/>
  </w:num>
  <w:num w:numId="17">
    <w:abstractNumId w:val="31"/>
  </w:num>
  <w:num w:numId="18">
    <w:abstractNumId w:val="7"/>
  </w:num>
  <w:num w:numId="19">
    <w:abstractNumId w:val="12"/>
  </w:num>
  <w:num w:numId="20">
    <w:abstractNumId w:val="37"/>
  </w:num>
  <w:num w:numId="21">
    <w:abstractNumId w:val="16"/>
  </w:num>
  <w:num w:numId="22">
    <w:abstractNumId w:val="11"/>
  </w:num>
  <w:num w:numId="23">
    <w:abstractNumId w:val="3"/>
  </w:num>
  <w:num w:numId="24">
    <w:abstractNumId w:val="30"/>
  </w:num>
  <w:num w:numId="25">
    <w:abstractNumId w:val="10"/>
  </w:num>
  <w:num w:numId="26">
    <w:abstractNumId w:val="0"/>
  </w:num>
  <w:num w:numId="27">
    <w:abstractNumId w:val="18"/>
  </w:num>
  <w:num w:numId="28">
    <w:abstractNumId w:val="24"/>
  </w:num>
  <w:num w:numId="29">
    <w:abstractNumId w:val="17"/>
  </w:num>
  <w:num w:numId="30">
    <w:abstractNumId w:val="6"/>
  </w:num>
  <w:num w:numId="31">
    <w:abstractNumId w:val="9"/>
  </w:num>
  <w:num w:numId="32">
    <w:abstractNumId w:val="22"/>
  </w:num>
  <w:num w:numId="33">
    <w:abstractNumId w:val="34"/>
  </w:num>
  <w:num w:numId="34">
    <w:abstractNumId w:val="25"/>
  </w:num>
  <w:num w:numId="35">
    <w:abstractNumId w:val="27"/>
  </w:num>
  <w:num w:numId="36">
    <w:abstractNumId w:val="13"/>
  </w:num>
  <w:num w:numId="37">
    <w:abstractNumId w:val="33"/>
  </w:num>
  <w:num w:numId="38">
    <w:abstractNumId w:val="23"/>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1"/>
    <w:footnote w:id="0"/>
  </w:footnotePr>
  <w:endnotePr>
    <w:endnote w:id="-1"/>
    <w:endnote w:id="0"/>
  </w:endnotePr>
  <w:compat/>
  <w:rsids>
    <w:rsidRoot w:val="00E61E55"/>
    <w:rsid w:val="00001263"/>
    <w:rsid w:val="000205FF"/>
    <w:rsid w:val="000211E6"/>
    <w:rsid w:val="00030DED"/>
    <w:rsid w:val="00050C63"/>
    <w:rsid w:val="000552D9"/>
    <w:rsid w:val="00065A3F"/>
    <w:rsid w:val="0007274C"/>
    <w:rsid w:val="000C32DB"/>
    <w:rsid w:val="000D5D82"/>
    <w:rsid w:val="000E47E7"/>
    <w:rsid w:val="001008A2"/>
    <w:rsid w:val="001023E9"/>
    <w:rsid w:val="00115D3A"/>
    <w:rsid w:val="00142A98"/>
    <w:rsid w:val="00144F6E"/>
    <w:rsid w:val="0015752B"/>
    <w:rsid w:val="00197CF0"/>
    <w:rsid w:val="001C052E"/>
    <w:rsid w:val="001F5F95"/>
    <w:rsid w:val="002342DD"/>
    <w:rsid w:val="0028024B"/>
    <w:rsid w:val="00293153"/>
    <w:rsid w:val="002E454F"/>
    <w:rsid w:val="00302A77"/>
    <w:rsid w:val="00327AD2"/>
    <w:rsid w:val="00336CE5"/>
    <w:rsid w:val="00342B9C"/>
    <w:rsid w:val="003A0976"/>
    <w:rsid w:val="003A5F5F"/>
    <w:rsid w:val="003C3DFD"/>
    <w:rsid w:val="003C7030"/>
    <w:rsid w:val="00406D65"/>
    <w:rsid w:val="004204C5"/>
    <w:rsid w:val="00420D3C"/>
    <w:rsid w:val="004233CC"/>
    <w:rsid w:val="00472FB7"/>
    <w:rsid w:val="00494E60"/>
    <w:rsid w:val="004A2D43"/>
    <w:rsid w:val="004A2F0C"/>
    <w:rsid w:val="004C7D77"/>
    <w:rsid w:val="004D1EE7"/>
    <w:rsid w:val="005547BE"/>
    <w:rsid w:val="005959A4"/>
    <w:rsid w:val="005A474B"/>
    <w:rsid w:val="005A6789"/>
    <w:rsid w:val="005B2C46"/>
    <w:rsid w:val="005E0784"/>
    <w:rsid w:val="005F68EC"/>
    <w:rsid w:val="00630632"/>
    <w:rsid w:val="00641DFE"/>
    <w:rsid w:val="006C44E6"/>
    <w:rsid w:val="006E0CFB"/>
    <w:rsid w:val="00727475"/>
    <w:rsid w:val="00750D37"/>
    <w:rsid w:val="007906C5"/>
    <w:rsid w:val="007975D4"/>
    <w:rsid w:val="007A5045"/>
    <w:rsid w:val="007F15AB"/>
    <w:rsid w:val="00833B2F"/>
    <w:rsid w:val="008724F3"/>
    <w:rsid w:val="008E79D8"/>
    <w:rsid w:val="008F49D3"/>
    <w:rsid w:val="00902325"/>
    <w:rsid w:val="0090468F"/>
    <w:rsid w:val="009064BE"/>
    <w:rsid w:val="00915C7C"/>
    <w:rsid w:val="009426AB"/>
    <w:rsid w:val="009506F9"/>
    <w:rsid w:val="00975849"/>
    <w:rsid w:val="009A27B4"/>
    <w:rsid w:val="009B04DD"/>
    <w:rsid w:val="009B6F20"/>
    <w:rsid w:val="009E327F"/>
    <w:rsid w:val="009E694C"/>
    <w:rsid w:val="009F7DAB"/>
    <w:rsid w:val="00A07603"/>
    <w:rsid w:val="00A906F2"/>
    <w:rsid w:val="00AD251C"/>
    <w:rsid w:val="00AF3729"/>
    <w:rsid w:val="00AF484D"/>
    <w:rsid w:val="00B36ECA"/>
    <w:rsid w:val="00B37CFB"/>
    <w:rsid w:val="00B632A0"/>
    <w:rsid w:val="00B75CCB"/>
    <w:rsid w:val="00B77527"/>
    <w:rsid w:val="00B95E85"/>
    <w:rsid w:val="00BA16E0"/>
    <w:rsid w:val="00BB097E"/>
    <w:rsid w:val="00BC10DE"/>
    <w:rsid w:val="00BD3B2D"/>
    <w:rsid w:val="00BD3DA2"/>
    <w:rsid w:val="00BE6F13"/>
    <w:rsid w:val="00BF067A"/>
    <w:rsid w:val="00C15C5A"/>
    <w:rsid w:val="00C87C08"/>
    <w:rsid w:val="00C972C6"/>
    <w:rsid w:val="00CC1484"/>
    <w:rsid w:val="00CE4DB7"/>
    <w:rsid w:val="00D24B91"/>
    <w:rsid w:val="00D848FD"/>
    <w:rsid w:val="00D87748"/>
    <w:rsid w:val="00D97944"/>
    <w:rsid w:val="00DA2B09"/>
    <w:rsid w:val="00DC164B"/>
    <w:rsid w:val="00E1672B"/>
    <w:rsid w:val="00E176E0"/>
    <w:rsid w:val="00E327EC"/>
    <w:rsid w:val="00E54344"/>
    <w:rsid w:val="00E613A1"/>
    <w:rsid w:val="00E61E55"/>
    <w:rsid w:val="00EA17B4"/>
    <w:rsid w:val="00EA18FC"/>
    <w:rsid w:val="00EE76E0"/>
    <w:rsid w:val="00EF7F5E"/>
    <w:rsid w:val="00F35289"/>
    <w:rsid w:val="00F478D6"/>
    <w:rsid w:val="00FA24AF"/>
    <w:rsid w:val="00FC7EAF"/>
    <w:rsid w:val="00FD48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o:shapedefaults>
    <o:shapelayout v:ext="edit">
      <o:idmap v:ext="edit" data="1"/>
      <o:rules v:ext="edit">
        <o:r id="V:Rule3" type="connector" idref="#_x0000_s1032"/>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0C32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A5F5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5547BE"/>
    <w:pPr>
      <w:spacing w:after="0" w:line="240" w:lineRule="auto"/>
    </w:pPr>
    <w:rPr>
      <w:rFonts w:eastAsia="Calibri" w:cstheme="minorHAnsi"/>
      <w:i/>
      <w:noProof/>
      <w:color w:val="000000" w:themeColor="text1"/>
      <w:sz w:val="20"/>
      <w:szCs w:val="20"/>
      <w:lang w:eastAsia="fr-FR"/>
    </w:rPr>
  </w:style>
  <w:style w:type="table" w:styleId="Grilledutableau">
    <w:name w:val="Table Grid"/>
    <w:basedOn w:val="TableauNormal"/>
    <w:uiPriority w:val="5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customStyle="1" w:styleId="fontstyle21">
    <w:name w:val="fontstyle21"/>
    <w:basedOn w:val="Policepardfaut"/>
    <w:rsid w:val="000552D9"/>
    <w:rPr>
      <w:rFonts w:ascii="TimesNewRomanPS-ItalicMT" w:hAnsi="TimesNewRomanPS-ItalicMT" w:hint="default"/>
      <w:b w:val="0"/>
      <w:bCs w:val="0"/>
      <w:i/>
      <w:iCs/>
      <w:color w:val="231F20"/>
      <w:sz w:val="22"/>
      <w:szCs w:val="22"/>
    </w:rPr>
  </w:style>
  <w:style w:type="character" w:customStyle="1" w:styleId="fontstyle31">
    <w:name w:val="fontstyle31"/>
    <w:basedOn w:val="Policepardfaut"/>
    <w:rsid w:val="00727475"/>
    <w:rPr>
      <w:rFonts w:ascii="ArialNarrow-Bold" w:hAnsi="ArialNarrow-Bold" w:hint="default"/>
      <w:b/>
      <w:bCs/>
      <w:i w:val="0"/>
      <w:iCs w:val="0"/>
      <w:color w:val="231F20"/>
      <w:sz w:val="36"/>
      <w:szCs w:val="36"/>
    </w:rPr>
  </w:style>
  <w:style w:type="character" w:customStyle="1" w:styleId="fontstyle41">
    <w:name w:val="fontstyle41"/>
    <w:basedOn w:val="Policepardfaut"/>
    <w:rsid w:val="00727475"/>
    <w:rPr>
      <w:rFonts w:ascii="TimesNewRomanPS-BoldMT" w:hAnsi="TimesNewRomanPS-BoldMT" w:hint="default"/>
      <w:b/>
      <w:bCs/>
      <w:i w:val="0"/>
      <w:iCs w:val="0"/>
      <w:color w:val="FFFFFF"/>
      <w:sz w:val="22"/>
      <w:szCs w:val="22"/>
    </w:rPr>
  </w:style>
  <w:style w:type="character" w:customStyle="1" w:styleId="fontstyle51">
    <w:name w:val="fontstyle51"/>
    <w:basedOn w:val="Policepardfaut"/>
    <w:rsid w:val="00727475"/>
    <w:rPr>
      <w:rFonts w:ascii="Arial-ItalicMT" w:hAnsi="Arial-ItalicMT" w:hint="default"/>
      <w:b w:val="0"/>
      <w:bCs w:val="0"/>
      <w:i/>
      <w:iCs/>
      <w:color w:val="231F20"/>
      <w:sz w:val="14"/>
      <w:szCs w:val="14"/>
    </w:rPr>
  </w:style>
  <w:style w:type="character" w:customStyle="1" w:styleId="Titre3Car">
    <w:name w:val="Titre 3 Car"/>
    <w:basedOn w:val="Policepardfaut"/>
    <w:link w:val="Titre3"/>
    <w:uiPriority w:val="9"/>
    <w:semiHidden/>
    <w:rsid w:val="003A5F5F"/>
    <w:rPr>
      <w:rFonts w:asciiTheme="majorHAnsi" w:eastAsiaTheme="majorEastAsia" w:hAnsiTheme="majorHAnsi" w:cstheme="majorBidi"/>
      <w:b/>
      <w:bCs/>
      <w:color w:val="4F81BD" w:themeColor="accent1"/>
      <w:sz w:val="24"/>
      <w:szCs w:val="24"/>
      <w:lang w:eastAsia="fr-FR"/>
    </w:rPr>
  </w:style>
  <w:style w:type="paragraph" w:styleId="NormalWeb">
    <w:name w:val="Normal (Web)"/>
    <w:basedOn w:val="Normal"/>
    <w:uiPriority w:val="99"/>
    <w:semiHidden/>
    <w:unhideWhenUsed/>
    <w:rsid w:val="003A5F5F"/>
    <w:pPr>
      <w:spacing w:before="100" w:beforeAutospacing="1" w:after="100" w:afterAutospacing="1"/>
    </w:pPr>
  </w:style>
  <w:style w:type="character" w:styleId="lev">
    <w:name w:val="Strong"/>
    <w:basedOn w:val="Policepardfaut"/>
    <w:uiPriority w:val="22"/>
    <w:qFormat/>
    <w:rsid w:val="003A5F5F"/>
    <w:rPr>
      <w:b/>
      <w:bCs/>
    </w:rPr>
  </w:style>
  <w:style w:type="character" w:styleId="Accentuation">
    <w:name w:val="Emphasis"/>
    <w:basedOn w:val="Policepardfaut"/>
    <w:uiPriority w:val="20"/>
    <w:qFormat/>
    <w:rsid w:val="003A5F5F"/>
    <w:rPr>
      <w:i/>
      <w:iCs/>
    </w:rPr>
  </w:style>
  <w:style w:type="character" w:customStyle="1" w:styleId="Titre2Car">
    <w:name w:val="Titre 2 Car"/>
    <w:basedOn w:val="Policepardfaut"/>
    <w:link w:val="Titre2"/>
    <w:uiPriority w:val="9"/>
    <w:semiHidden/>
    <w:rsid w:val="000C32DB"/>
    <w:rPr>
      <w:rFonts w:asciiTheme="majorHAnsi" w:eastAsiaTheme="majorEastAsia" w:hAnsiTheme="majorHAnsi" w:cstheme="majorBidi"/>
      <w:b/>
      <w:bCs/>
      <w:color w:val="4F81BD" w:themeColor="accent1"/>
      <w:sz w:val="26"/>
      <w:szCs w:val="26"/>
      <w:lang w:eastAsia="fr-FR"/>
    </w:rPr>
  </w:style>
</w:styles>
</file>

<file path=word/webSettings.xml><?xml version="1.0" encoding="utf-8"?>
<w:webSettings xmlns:r="http://schemas.openxmlformats.org/officeDocument/2006/relationships" xmlns:w="http://schemas.openxmlformats.org/wordprocessingml/2006/main">
  <w:divs>
    <w:div w:id="29842121">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299725739">
      <w:bodyDiv w:val="1"/>
      <w:marLeft w:val="0"/>
      <w:marRight w:val="0"/>
      <w:marTop w:val="0"/>
      <w:marBottom w:val="0"/>
      <w:divBdr>
        <w:top w:val="none" w:sz="0" w:space="0" w:color="auto"/>
        <w:left w:val="none" w:sz="0" w:space="0" w:color="auto"/>
        <w:bottom w:val="none" w:sz="0" w:space="0" w:color="auto"/>
        <w:right w:val="none" w:sz="0" w:space="0" w:color="auto"/>
      </w:divBdr>
    </w:div>
    <w:div w:id="332802175">
      <w:bodyDiv w:val="1"/>
      <w:marLeft w:val="0"/>
      <w:marRight w:val="0"/>
      <w:marTop w:val="0"/>
      <w:marBottom w:val="0"/>
      <w:divBdr>
        <w:top w:val="none" w:sz="0" w:space="0" w:color="auto"/>
        <w:left w:val="none" w:sz="0" w:space="0" w:color="auto"/>
        <w:bottom w:val="none" w:sz="0" w:space="0" w:color="auto"/>
        <w:right w:val="none" w:sz="0" w:space="0" w:color="auto"/>
      </w:divBdr>
    </w:div>
    <w:div w:id="441414562">
      <w:bodyDiv w:val="1"/>
      <w:marLeft w:val="0"/>
      <w:marRight w:val="0"/>
      <w:marTop w:val="0"/>
      <w:marBottom w:val="0"/>
      <w:divBdr>
        <w:top w:val="none" w:sz="0" w:space="0" w:color="auto"/>
        <w:left w:val="none" w:sz="0" w:space="0" w:color="auto"/>
        <w:bottom w:val="none" w:sz="0" w:space="0" w:color="auto"/>
        <w:right w:val="none" w:sz="0" w:space="0" w:color="auto"/>
      </w:divBdr>
    </w:div>
    <w:div w:id="757559662">
      <w:bodyDiv w:val="1"/>
      <w:marLeft w:val="0"/>
      <w:marRight w:val="0"/>
      <w:marTop w:val="0"/>
      <w:marBottom w:val="0"/>
      <w:divBdr>
        <w:top w:val="none" w:sz="0" w:space="0" w:color="auto"/>
        <w:left w:val="none" w:sz="0" w:space="0" w:color="auto"/>
        <w:bottom w:val="none" w:sz="0" w:space="0" w:color="auto"/>
        <w:right w:val="none" w:sz="0" w:space="0" w:color="auto"/>
      </w:divBdr>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1020276863">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izencan.fr/fr/blog/cultures-et-legendes/1637-le-krach-tulipes" TargetMode="External"/><Relationship Id="rId13" Type="http://schemas.openxmlformats.org/officeDocument/2006/relationships/chart" Target="charts/chart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crotrends.net/2015/fed-funds-rate-historical-chart" TargetMode="External"/><Relationship Id="rId7" Type="http://schemas.openxmlformats.org/officeDocument/2006/relationships/hyperlink" Target="https://www.google.com/url?sa=t&amp;rct=j&amp;q=&amp;esrc=s&amp;source=web&amp;cd=19&amp;cad=rja&amp;uact=8&amp;ved=2ahUKEwip97OfpLXpAhVRyoUKHUmYDLUQFjASegQICRAB&amp;url=https%3A%2F%2Fwww.vie-publique.fr%2Fsites%2Fdefault%2Ffiles%2Frapport%2Fpdf%2F044000560.pdf&amp;usg=AOvVaw05-wyZyr5klAZsAwotWF" TargetMode="External"/><Relationship Id="rId12" Type="http://schemas.openxmlformats.org/officeDocument/2006/relationships/hyperlink" Target="https://books.google.fr/books?id=EZqFCgAAQBAJ&amp;pg=PT79&amp;lpg=PT79&amp;dq=invention+call+loans&amp;source=bl&amp;ots=ALj0yAMQxt&amp;sig=ACfU3U2jatN-AsL3NVHfbo0DxI8dSq4wAA&amp;hl=fr&amp;sa=X&amp;ved=2ahUKEwi1_a_k6K3pAhVj1uAKHZ1OB-EQ6AEwAXoECAoQAQ" TargetMode="External"/><Relationship Id="rId17" Type="http://schemas.openxmlformats.org/officeDocument/2006/relationships/hyperlink" Target="https://www.abcbourse.com/marches/economie_indice_case_shiller-22"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crotrends.net/1319/dow-jones-100-year-historical-char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ea.gov/national/index.htm" TargetMode="External"/><Relationship Id="rId23" Type="http://schemas.openxmlformats.org/officeDocument/2006/relationships/hyperlink" Target="https://abc-economie.banque-france.fr/mot-de-lactu/bulle-speculative" TargetMode="External"/><Relationship Id="rId10" Type="http://schemas.openxmlformats.org/officeDocument/2006/relationships/image" Target="media/image1.png"/><Relationship Id="rId19" Type="http://schemas.openxmlformats.org/officeDocument/2006/relationships/hyperlink" Target="https://www.macrotrends.net/1319/dow-jones-100-year-historical-chart" TargetMode="External"/><Relationship Id="rId4" Type="http://schemas.openxmlformats.org/officeDocument/2006/relationships/webSettings" Target="webSettings.xml"/><Relationship Id="rId9" Type="http://schemas.openxmlformats.org/officeDocument/2006/relationships/hyperlink" Target="https://institutdeslibertes.org/minsky-moment-ou-la-revanche-de-leconomie-reelle/" TargetMode="External"/><Relationship Id="rId14" Type="http://schemas.openxmlformats.org/officeDocument/2006/relationships/hyperlink" Target="http://www.federalreserve.gov/datadownload/Download.aspx?rel=Z1&amp;series=4e847cbc7414ffaea2edd83e4b8c8b1f&amp;filetype=spreadsheetml&amp;label=include&amp;layout=seriescolumn&amp;from=01/01/1945&amp;to=12/31/2016" TargetMode="External"/><Relationship Id="rId22" Type="http://schemas.openxmlformats.org/officeDocument/2006/relationships/image" Target="media/image5.png"/><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Bruno\Cours\Terminale\Sp&#233;cialit&#233;_EA\Chapitre%206\Doc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plotArea>
      <c:layout>
        <c:manualLayout>
          <c:layoutTarget val="inner"/>
          <c:xMode val="edge"/>
          <c:yMode val="edge"/>
          <c:x val="4.23014699954316E-2"/>
          <c:y val="2.319064163976892E-2"/>
          <c:w val="0.93529644459971562"/>
          <c:h val="0.9076153861968298"/>
        </c:manualLayout>
      </c:layout>
      <c:barChart>
        <c:barDir val="col"/>
        <c:grouping val="stacked"/>
        <c:ser>
          <c:idx val="0"/>
          <c:order val="0"/>
          <c:tx>
            <c:strRef>
              <c:f>Sheet1!$M$7</c:f>
              <c:strCache>
                <c:ptCount val="1"/>
                <c:pt idx="0">
                  <c:v>Ménages</c:v>
                </c:pt>
              </c:strCache>
            </c:strRef>
          </c:tx>
          <c:dLbls>
            <c:txPr>
              <a:bodyPr rot="-5400000" vert="horz"/>
              <a:lstStyle/>
              <a:p>
                <a:pPr>
                  <a:defRPr sz="800"/>
                </a:pPr>
                <a:endParaRPr lang="fr-FR"/>
              </a:p>
            </c:txPr>
            <c:showVal val="1"/>
          </c:dLbls>
          <c:cat>
            <c:strRef>
              <c:f>Sheet1!$A$9:$A$83</c:f>
              <c:strCache>
                <c:ptCount val="75"/>
                <c:pt idx="0">
                  <c:v>1945</c:v>
                </c:pt>
                <c:pt idx="1">
                  <c:v>1946</c:v>
                </c:pt>
                <c:pt idx="2">
                  <c:v>1947</c:v>
                </c:pt>
                <c:pt idx="3">
                  <c:v>1948</c:v>
                </c:pt>
                <c:pt idx="4">
                  <c:v>1949</c:v>
                </c:pt>
                <c:pt idx="5">
                  <c:v>1950</c:v>
                </c:pt>
                <c:pt idx="6">
                  <c:v>1951</c:v>
                </c:pt>
                <c:pt idx="7">
                  <c:v>1952</c:v>
                </c:pt>
                <c:pt idx="8">
                  <c:v>1953</c:v>
                </c:pt>
                <c:pt idx="9">
                  <c:v>1954</c:v>
                </c:pt>
                <c:pt idx="10">
                  <c:v>1955</c:v>
                </c:pt>
                <c:pt idx="11">
                  <c:v>1956</c:v>
                </c:pt>
                <c:pt idx="12">
                  <c:v>1957</c:v>
                </c:pt>
                <c:pt idx="13">
                  <c:v>1958</c:v>
                </c:pt>
                <c:pt idx="14">
                  <c:v>1959</c:v>
                </c:pt>
                <c:pt idx="15">
                  <c:v>1960</c:v>
                </c:pt>
                <c:pt idx="16">
                  <c:v>1961</c:v>
                </c:pt>
                <c:pt idx="17">
                  <c:v>1962</c:v>
                </c:pt>
                <c:pt idx="18">
                  <c:v>1963</c:v>
                </c:pt>
                <c:pt idx="19">
                  <c:v>1964</c:v>
                </c:pt>
                <c:pt idx="20">
                  <c:v>1965</c:v>
                </c:pt>
                <c:pt idx="21">
                  <c:v>1966</c:v>
                </c:pt>
                <c:pt idx="22">
                  <c:v>1967</c:v>
                </c:pt>
                <c:pt idx="23">
                  <c:v>1968</c:v>
                </c:pt>
                <c:pt idx="24">
                  <c:v>1969</c:v>
                </c:pt>
                <c:pt idx="25">
                  <c:v>1970</c:v>
                </c:pt>
                <c:pt idx="26">
                  <c:v>1971</c:v>
                </c:pt>
                <c:pt idx="27">
                  <c:v>1972</c:v>
                </c:pt>
                <c:pt idx="28">
                  <c:v>1973</c:v>
                </c:pt>
                <c:pt idx="29">
                  <c:v>1974</c:v>
                </c:pt>
                <c:pt idx="30">
                  <c:v>1975</c:v>
                </c:pt>
                <c:pt idx="31">
                  <c:v>1976</c:v>
                </c:pt>
                <c:pt idx="32">
                  <c:v>1977</c:v>
                </c:pt>
                <c:pt idx="33">
                  <c:v>1978</c:v>
                </c:pt>
                <c:pt idx="34">
                  <c:v>1979</c:v>
                </c:pt>
                <c:pt idx="35">
                  <c:v>1980</c:v>
                </c:pt>
                <c:pt idx="36">
                  <c:v>1981</c:v>
                </c:pt>
                <c:pt idx="37">
                  <c:v>1982</c:v>
                </c:pt>
                <c:pt idx="38">
                  <c:v>1983</c:v>
                </c:pt>
                <c:pt idx="39">
                  <c:v>1984</c:v>
                </c:pt>
                <c:pt idx="40">
                  <c:v>1985</c:v>
                </c:pt>
                <c:pt idx="41">
                  <c:v>1986</c:v>
                </c:pt>
                <c:pt idx="42">
                  <c:v>1987</c:v>
                </c:pt>
                <c:pt idx="43">
                  <c:v>1988</c:v>
                </c:pt>
                <c:pt idx="44">
                  <c:v>1989</c:v>
                </c:pt>
                <c:pt idx="45">
                  <c:v>1990</c:v>
                </c:pt>
                <c:pt idx="46">
                  <c:v>1991</c:v>
                </c:pt>
                <c:pt idx="47">
                  <c:v>1992</c:v>
                </c:pt>
                <c:pt idx="48">
                  <c:v>1993</c:v>
                </c:pt>
                <c:pt idx="49">
                  <c:v>1994</c:v>
                </c:pt>
                <c:pt idx="50">
                  <c:v>1995</c:v>
                </c:pt>
                <c:pt idx="51">
                  <c:v>1996</c:v>
                </c:pt>
                <c:pt idx="52">
                  <c:v>1997</c:v>
                </c:pt>
                <c:pt idx="53">
                  <c:v>1998</c:v>
                </c:pt>
                <c:pt idx="54">
                  <c:v>1999</c:v>
                </c:pt>
                <c:pt idx="55">
                  <c:v>2000</c:v>
                </c:pt>
                <c:pt idx="56">
                  <c:v>2001</c:v>
                </c:pt>
                <c:pt idx="57">
                  <c:v>2002</c:v>
                </c:pt>
                <c:pt idx="58">
                  <c:v>2003</c:v>
                </c:pt>
                <c:pt idx="59">
                  <c:v>2004</c:v>
                </c:pt>
                <c:pt idx="60">
                  <c:v>2005</c:v>
                </c:pt>
                <c:pt idx="61">
                  <c:v>2006</c:v>
                </c:pt>
                <c:pt idx="62">
                  <c:v>2007</c:v>
                </c:pt>
                <c:pt idx="63">
                  <c:v>2008</c:v>
                </c:pt>
                <c:pt idx="64">
                  <c:v>2009</c:v>
                </c:pt>
                <c:pt idx="65">
                  <c:v>2010</c:v>
                </c:pt>
                <c:pt idx="66">
                  <c:v>2011</c:v>
                </c:pt>
                <c:pt idx="67">
                  <c:v>2012</c:v>
                </c:pt>
                <c:pt idx="68">
                  <c:v>2013</c:v>
                </c:pt>
                <c:pt idx="69">
                  <c:v>2014</c:v>
                </c:pt>
                <c:pt idx="70">
                  <c:v>2015</c:v>
                </c:pt>
                <c:pt idx="71">
                  <c:v>2016</c:v>
                </c:pt>
                <c:pt idx="72">
                  <c:v>2017</c:v>
                </c:pt>
                <c:pt idx="73">
                  <c:v>2018</c:v>
                </c:pt>
                <c:pt idx="74">
                  <c:v>2019</c:v>
                </c:pt>
              </c:strCache>
            </c:strRef>
          </c:cat>
          <c:val>
            <c:numRef>
              <c:f>Sheet1!$M$9:$M$83</c:f>
              <c:numCache>
                <c:formatCode>0</c:formatCode>
                <c:ptCount val="75"/>
                <c:pt idx="0">
                  <c:v>12.913157894736846</c:v>
                </c:pt>
                <c:pt idx="1">
                  <c:v>15.853626373626389</c:v>
                </c:pt>
                <c:pt idx="2">
                  <c:v>17.993990384615383</c:v>
                </c:pt>
                <c:pt idx="3">
                  <c:v>19.461930783242259</c:v>
                </c:pt>
                <c:pt idx="4">
                  <c:v>22.485504587155916</c:v>
                </c:pt>
                <c:pt idx="5">
                  <c:v>24.964976651100727</c:v>
                </c:pt>
                <c:pt idx="6">
                  <c:v>24.055059094840015</c:v>
                </c:pt>
                <c:pt idx="7">
                  <c:v>26.02640893002992</c:v>
                </c:pt>
                <c:pt idx="8">
                  <c:v>27.789825282631014</c:v>
                </c:pt>
                <c:pt idx="9">
                  <c:v>30.845838668373883</c:v>
                </c:pt>
                <c:pt idx="10">
                  <c:v>33.26980023501762</c:v>
                </c:pt>
                <c:pt idx="11">
                  <c:v>34.802180685358245</c:v>
                </c:pt>
                <c:pt idx="12">
                  <c:v>35.564345991561183</c:v>
                </c:pt>
                <c:pt idx="13">
                  <c:v>37.483582709891941</c:v>
                </c:pt>
                <c:pt idx="14">
                  <c:v>38.779950162928948</c:v>
                </c:pt>
                <c:pt idx="15">
                  <c:v>40.534845132743328</c:v>
                </c:pt>
                <c:pt idx="16">
                  <c:v>42.316079686944114</c:v>
                </c:pt>
                <c:pt idx="17">
                  <c:v>43.012419274714354</c:v>
                </c:pt>
                <c:pt idx="18">
                  <c:v>45.209568627451013</c:v>
                </c:pt>
                <c:pt idx="19">
                  <c:v>46.330168005843618</c:v>
                </c:pt>
                <c:pt idx="20">
                  <c:v>46.593425838609789</c:v>
                </c:pt>
                <c:pt idx="21">
                  <c:v>45.29050897467426</c:v>
                </c:pt>
                <c:pt idx="22">
                  <c:v>46.781627906976752</c:v>
                </c:pt>
                <c:pt idx="23">
                  <c:v>45.358987987668705</c:v>
                </c:pt>
                <c:pt idx="24">
                  <c:v>44.543238993710652</c:v>
                </c:pt>
                <c:pt idx="25">
                  <c:v>43.525854840212425</c:v>
                </c:pt>
                <c:pt idx="26">
                  <c:v>43.893038029015365</c:v>
                </c:pt>
                <c:pt idx="27">
                  <c:v>44.661637088577919</c:v>
                </c:pt>
                <c:pt idx="28">
                  <c:v>44.666549740423804</c:v>
                </c:pt>
                <c:pt idx="29">
                  <c:v>44.749676417292186</c:v>
                </c:pt>
                <c:pt idx="30">
                  <c:v>44.363285654935005</c:v>
                </c:pt>
                <c:pt idx="31">
                  <c:v>44.638678338849196</c:v>
                </c:pt>
                <c:pt idx="32">
                  <c:v>46.426601979056542</c:v>
                </c:pt>
                <c:pt idx="33">
                  <c:v>47.968361966320813</c:v>
                </c:pt>
                <c:pt idx="34">
                  <c:v>49.362805922429942</c:v>
                </c:pt>
                <c:pt idx="35">
                  <c:v>49.704336261505617</c:v>
                </c:pt>
                <c:pt idx="36">
                  <c:v>47.601091362644169</c:v>
                </c:pt>
                <c:pt idx="37">
                  <c:v>47.787188228961092</c:v>
                </c:pt>
                <c:pt idx="38">
                  <c:v>48.420693450742917</c:v>
                </c:pt>
                <c:pt idx="39">
                  <c:v>48.981523677432072</c:v>
                </c:pt>
                <c:pt idx="40">
                  <c:v>53.694030882691905</c:v>
                </c:pt>
                <c:pt idx="41">
                  <c:v>56.605205694820512</c:v>
                </c:pt>
                <c:pt idx="42">
                  <c:v>57.71160817268084</c:v>
                </c:pt>
                <c:pt idx="43">
                  <c:v>58.89849896875716</c:v>
                </c:pt>
                <c:pt idx="44">
                  <c:v>59.656888116846233</c:v>
                </c:pt>
                <c:pt idx="45">
                  <c:v>60.774077241703125</c:v>
                </c:pt>
                <c:pt idx="46">
                  <c:v>62.229275263474165</c:v>
                </c:pt>
                <c:pt idx="47">
                  <c:v>61.825590847046911</c:v>
                </c:pt>
                <c:pt idx="48">
                  <c:v>62.380165048260544</c:v>
                </c:pt>
                <c:pt idx="49">
                  <c:v>63.111181249313844</c:v>
                </c:pt>
                <c:pt idx="50">
                  <c:v>64.370381035904416</c:v>
                </c:pt>
                <c:pt idx="51">
                  <c:v>65.367504428286523</c:v>
                </c:pt>
                <c:pt idx="52">
                  <c:v>65.551028259653009</c:v>
                </c:pt>
                <c:pt idx="53">
                  <c:v>67.060665577967143</c:v>
                </c:pt>
                <c:pt idx="54">
                  <c:v>68.988173237667041</c:v>
                </c:pt>
                <c:pt idx="55">
                  <c:v>70.615120509544198</c:v>
                </c:pt>
                <c:pt idx="56">
                  <c:v>74.299325256572615</c:v>
                </c:pt>
                <c:pt idx="57">
                  <c:v>78.886644599685468</c:v>
                </c:pt>
                <c:pt idx="58">
                  <c:v>84.736782391649555</c:v>
                </c:pt>
                <c:pt idx="59">
                  <c:v>88.902805865544408</c:v>
                </c:pt>
                <c:pt idx="60">
                  <c:v>92.302985440989218</c:v>
                </c:pt>
                <c:pt idx="61">
                  <c:v>96.408640134350549</c:v>
                </c:pt>
                <c:pt idx="62">
                  <c:v>98.544094548121706</c:v>
                </c:pt>
                <c:pt idx="63">
                  <c:v>95.905334130824727</c:v>
                </c:pt>
                <c:pt idx="64">
                  <c:v>96.554921135865015</c:v>
                </c:pt>
                <c:pt idx="65">
                  <c:v>91.618812574622524</c:v>
                </c:pt>
                <c:pt idx="66">
                  <c:v>87.415760554862132</c:v>
                </c:pt>
                <c:pt idx="67">
                  <c:v>83.882644934247097</c:v>
                </c:pt>
                <c:pt idx="68">
                  <c:v>81.7575737716638</c:v>
                </c:pt>
                <c:pt idx="69">
                  <c:v>79.711347440849423</c:v>
                </c:pt>
                <c:pt idx="70">
                  <c:v>77.720496246872401</c:v>
                </c:pt>
                <c:pt idx="71">
                  <c:v>77.979273310178982</c:v>
                </c:pt>
                <c:pt idx="72">
                  <c:v>77.60077666321709</c:v>
                </c:pt>
                <c:pt idx="73">
                  <c:v>75.876949689507427</c:v>
                </c:pt>
                <c:pt idx="74">
                  <c:v>75.363263439379949</c:v>
                </c:pt>
              </c:numCache>
            </c:numRef>
          </c:val>
        </c:ser>
        <c:ser>
          <c:idx val="1"/>
          <c:order val="1"/>
          <c:tx>
            <c:strRef>
              <c:f>Sheet1!$N$7</c:f>
              <c:strCache>
                <c:ptCount val="1"/>
                <c:pt idx="0">
                  <c:v>Sociétés non financières</c:v>
                </c:pt>
              </c:strCache>
            </c:strRef>
          </c:tx>
          <c:dLbls>
            <c:txPr>
              <a:bodyPr rot="-5400000" vert="horz"/>
              <a:lstStyle/>
              <a:p>
                <a:pPr>
                  <a:defRPr sz="800"/>
                </a:pPr>
                <a:endParaRPr lang="fr-FR"/>
              </a:p>
            </c:txPr>
            <c:showVal val="1"/>
          </c:dLbls>
          <c:cat>
            <c:strRef>
              <c:f>Sheet1!$A$9:$A$83</c:f>
              <c:strCache>
                <c:ptCount val="75"/>
                <c:pt idx="0">
                  <c:v>1945</c:v>
                </c:pt>
                <c:pt idx="1">
                  <c:v>1946</c:v>
                </c:pt>
                <c:pt idx="2">
                  <c:v>1947</c:v>
                </c:pt>
                <c:pt idx="3">
                  <c:v>1948</c:v>
                </c:pt>
                <c:pt idx="4">
                  <c:v>1949</c:v>
                </c:pt>
                <c:pt idx="5">
                  <c:v>1950</c:v>
                </c:pt>
                <c:pt idx="6">
                  <c:v>1951</c:v>
                </c:pt>
                <c:pt idx="7">
                  <c:v>1952</c:v>
                </c:pt>
                <c:pt idx="8">
                  <c:v>1953</c:v>
                </c:pt>
                <c:pt idx="9">
                  <c:v>1954</c:v>
                </c:pt>
                <c:pt idx="10">
                  <c:v>1955</c:v>
                </c:pt>
                <c:pt idx="11">
                  <c:v>1956</c:v>
                </c:pt>
                <c:pt idx="12">
                  <c:v>1957</c:v>
                </c:pt>
                <c:pt idx="13">
                  <c:v>1958</c:v>
                </c:pt>
                <c:pt idx="14">
                  <c:v>1959</c:v>
                </c:pt>
                <c:pt idx="15">
                  <c:v>1960</c:v>
                </c:pt>
                <c:pt idx="16">
                  <c:v>1961</c:v>
                </c:pt>
                <c:pt idx="17">
                  <c:v>1962</c:v>
                </c:pt>
                <c:pt idx="18">
                  <c:v>1963</c:v>
                </c:pt>
                <c:pt idx="19">
                  <c:v>1964</c:v>
                </c:pt>
                <c:pt idx="20">
                  <c:v>1965</c:v>
                </c:pt>
                <c:pt idx="21">
                  <c:v>1966</c:v>
                </c:pt>
                <c:pt idx="22">
                  <c:v>1967</c:v>
                </c:pt>
                <c:pt idx="23">
                  <c:v>1968</c:v>
                </c:pt>
                <c:pt idx="24">
                  <c:v>1969</c:v>
                </c:pt>
                <c:pt idx="25">
                  <c:v>1970</c:v>
                </c:pt>
                <c:pt idx="26">
                  <c:v>1971</c:v>
                </c:pt>
                <c:pt idx="27">
                  <c:v>1972</c:v>
                </c:pt>
                <c:pt idx="28">
                  <c:v>1973</c:v>
                </c:pt>
                <c:pt idx="29">
                  <c:v>1974</c:v>
                </c:pt>
                <c:pt idx="30">
                  <c:v>1975</c:v>
                </c:pt>
                <c:pt idx="31">
                  <c:v>1976</c:v>
                </c:pt>
                <c:pt idx="32">
                  <c:v>1977</c:v>
                </c:pt>
                <c:pt idx="33">
                  <c:v>1978</c:v>
                </c:pt>
                <c:pt idx="34">
                  <c:v>1979</c:v>
                </c:pt>
                <c:pt idx="35">
                  <c:v>1980</c:v>
                </c:pt>
                <c:pt idx="36">
                  <c:v>1981</c:v>
                </c:pt>
                <c:pt idx="37">
                  <c:v>1982</c:v>
                </c:pt>
                <c:pt idx="38">
                  <c:v>1983</c:v>
                </c:pt>
                <c:pt idx="39">
                  <c:v>1984</c:v>
                </c:pt>
                <c:pt idx="40">
                  <c:v>1985</c:v>
                </c:pt>
                <c:pt idx="41">
                  <c:v>1986</c:v>
                </c:pt>
                <c:pt idx="42">
                  <c:v>1987</c:v>
                </c:pt>
                <c:pt idx="43">
                  <c:v>1988</c:v>
                </c:pt>
                <c:pt idx="44">
                  <c:v>1989</c:v>
                </c:pt>
                <c:pt idx="45">
                  <c:v>1990</c:v>
                </c:pt>
                <c:pt idx="46">
                  <c:v>1991</c:v>
                </c:pt>
                <c:pt idx="47">
                  <c:v>1992</c:v>
                </c:pt>
                <c:pt idx="48">
                  <c:v>1993</c:v>
                </c:pt>
                <c:pt idx="49">
                  <c:v>1994</c:v>
                </c:pt>
                <c:pt idx="50">
                  <c:v>1995</c:v>
                </c:pt>
                <c:pt idx="51">
                  <c:v>1996</c:v>
                </c:pt>
                <c:pt idx="52">
                  <c:v>1997</c:v>
                </c:pt>
                <c:pt idx="53">
                  <c:v>1998</c:v>
                </c:pt>
                <c:pt idx="54">
                  <c:v>1999</c:v>
                </c:pt>
                <c:pt idx="55">
                  <c:v>2000</c:v>
                </c:pt>
                <c:pt idx="56">
                  <c:v>2001</c:v>
                </c:pt>
                <c:pt idx="57">
                  <c:v>2002</c:v>
                </c:pt>
                <c:pt idx="58">
                  <c:v>2003</c:v>
                </c:pt>
                <c:pt idx="59">
                  <c:v>2004</c:v>
                </c:pt>
                <c:pt idx="60">
                  <c:v>2005</c:v>
                </c:pt>
                <c:pt idx="61">
                  <c:v>2006</c:v>
                </c:pt>
                <c:pt idx="62">
                  <c:v>2007</c:v>
                </c:pt>
                <c:pt idx="63">
                  <c:v>2008</c:v>
                </c:pt>
                <c:pt idx="64">
                  <c:v>2009</c:v>
                </c:pt>
                <c:pt idx="65">
                  <c:v>2010</c:v>
                </c:pt>
                <c:pt idx="66">
                  <c:v>2011</c:v>
                </c:pt>
                <c:pt idx="67">
                  <c:v>2012</c:v>
                </c:pt>
                <c:pt idx="68">
                  <c:v>2013</c:v>
                </c:pt>
                <c:pt idx="69">
                  <c:v>2014</c:v>
                </c:pt>
                <c:pt idx="70">
                  <c:v>2015</c:v>
                </c:pt>
                <c:pt idx="71">
                  <c:v>2016</c:v>
                </c:pt>
                <c:pt idx="72">
                  <c:v>2017</c:v>
                </c:pt>
                <c:pt idx="73">
                  <c:v>2018</c:v>
                </c:pt>
                <c:pt idx="74">
                  <c:v>2019</c:v>
                </c:pt>
              </c:strCache>
            </c:strRef>
          </c:cat>
          <c:val>
            <c:numRef>
              <c:f>Sheet1!$N$9:$N$83</c:f>
              <c:numCache>
                <c:formatCode>0</c:formatCode>
                <c:ptCount val="75"/>
                <c:pt idx="0">
                  <c:v>24.535087719298264</c:v>
                </c:pt>
                <c:pt idx="1">
                  <c:v>28.091428571428573</c:v>
                </c:pt>
                <c:pt idx="2">
                  <c:v>29.070913461538485</c:v>
                </c:pt>
                <c:pt idx="3">
                  <c:v>29.132240437158487</c:v>
                </c:pt>
                <c:pt idx="4">
                  <c:v>30.434128440366976</c:v>
                </c:pt>
                <c:pt idx="5">
                  <c:v>30.715143428952636</c:v>
                </c:pt>
                <c:pt idx="6">
                  <c:v>29.923897376765616</c:v>
                </c:pt>
                <c:pt idx="7">
                  <c:v>30.638987203920504</c:v>
                </c:pt>
                <c:pt idx="8">
                  <c:v>30.218139773895153</c:v>
                </c:pt>
                <c:pt idx="9">
                  <c:v>31.692189500640186</c:v>
                </c:pt>
                <c:pt idx="10">
                  <c:v>31.975088131609869</c:v>
                </c:pt>
                <c:pt idx="11">
                  <c:v>33.130841121495294</c:v>
                </c:pt>
                <c:pt idx="12">
                  <c:v>33.968354430379804</c:v>
                </c:pt>
                <c:pt idx="13">
                  <c:v>35.774106400665005</c:v>
                </c:pt>
                <c:pt idx="14">
                  <c:v>35.824036802760205</c:v>
                </c:pt>
                <c:pt idx="15">
                  <c:v>36.986725663716769</c:v>
                </c:pt>
                <c:pt idx="16">
                  <c:v>38.189967982924223</c:v>
                </c:pt>
                <c:pt idx="17">
                  <c:v>38.544129822818348</c:v>
                </c:pt>
                <c:pt idx="18">
                  <c:v>39.553882352941145</c:v>
                </c:pt>
                <c:pt idx="19">
                  <c:v>40.057268078889663</c:v>
                </c:pt>
                <c:pt idx="20">
                  <c:v>40.925097669405901</c:v>
                </c:pt>
                <c:pt idx="21">
                  <c:v>41.578805015982297</c:v>
                </c:pt>
                <c:pt idx="22">
                  <c:v>43.122790697674418</c:v>
                </c:pt>
                <c:pt idx="23">
                  <c:v>43.866907621983593</c:v>
                </c:pt>
                <c:pt idx="24">
                  <c:v>45.281446540880495</c:v>
                </c:pt>
                <c:pt idx="25">
                  <c:v>47.697847759247082</c:v>
                </c:pt>
                <c:pt idx="26">
                  <c:v>48.364494806421149</c:v>
                </c:pt>
                <c:pt idx="27">
                  <c:v>49.594636854038001</c:v>
                </c:pt>
                <c:pt idx="28">
                  <c:v>51.043777185351445</c:v>
                </c:pt>
                <c:pt idx="29">
                  <c:v>53.087949779963729</c:v>
                </c:pt>
                <c:pt idx="30">
                  <c:v>51.057392130096737</c:v>
                </c:pt>
                <c:pt idx="31">
                  <c:v>49.718586527169862</c:v>
                </c:pt>
                <c:pt idx="32">
                  <c:v>50.443510423671832</c:v>
                </c:pt>
                <c:pt idx="33">
                  <c:v>50.359840108861988</c:v>
                </c:pt>
                <c:pt idx="34">
                  <c:v>51.147147261447053</c:v>
                </c:pt>
                <c:pt idx="35">
                  <c:v>51.610716410597405</c:v>
                </c:pt>
                <c:pt idx="36">
                  <c:v>51.713657623947569</c:v>
                </c:pt>
                <c:pt idx="37">
                  <c:v>54.057898199653025</c:v>
                </c:pt>
                <c:pt idx="38">
                  <c:v>54.931838194826625</c:v>
                </c:pt>
                <c:pt idx="39">
                  <c:v>57.475133742817519</c:v>
                </c:pt>
                <c:pt idx="40">
                  <c:v>59.276100483982475</c:v>
                </c:pt>
                <c:pt idx="41">
                  <c:v>62.553105074679003</c:v>
                </c:pt>
                <c:pt idx="42">
                  <c:v>64.05042016806722</c:v>
                </c:pt>
                <c:pt idx="43">
                  <c:v>65.066629745626827</c:v>
                </c:pt>
                <c:pt idx="44">
                  <c:v>64.616686755530338</c:v>
                </c:pt>
                <c:pt idx="45">
                  <c:v>63.321191997450988</c:v>
                </c:pt>
                <c:pt idx="46">
                  <c:v>59.89839398515781</c:v>
                </c:pt>
                <c:pt idx="47">
                  <c:v>56.446988635492183</c:v>
                </c:pt>
                <c:pt idx="48">
                  <c:v>55.48556556731689</c:v>
                </c:pt>
                <c:pt idx="49">
                  <c:v>55.128677681413976</c:v>
                </c:pt>
                <c:pt idx="50">
                  <c:v>55.887351597575829</c:v>
                </c:pt>
                <c:pt idx="51">
                  <c:v>55.60992679392055</c:v>
                </c:pt>
                <c:pt idx="52">
                  <c:v>56.753474165267576</c:v>
                </c:pt>
                <c:pt idx="53">
                  <c:v>59.99553118241603</c:v>
                </c:pt>
                <c:pt idx="54">
                  <c:v>62.636018150290205</c:v>
                </c:pt>
                <c:pt idx="55">
                  <c:v>64.061956829199303</c:v>
                </c:pt>
                <c:pt idx="56">
                  <c:v>64.774131055208002</c:v>
                </c:pt>
                <c:pt idx="57">
                  <c:v>64.106214110676248</c:v>
                </c:pt>
                <c:pt idx="58">
                  <c:v>61.867134453928152</c:v>
                </c:pt>
                <c:pt idx="59">
                  <c:v>61.68074375496365</c:v>
                </c:pt>
                <c:pt idx="60">
                  <c:v>62.483446604175931</c:v>
                </c:pt>
                <c:pt idx="61">
                  <c:v>64.921619156544509</c:v>
                </c:pt>
                <c:pt idx="62">
                  <c:v>69.889274074689055</c:v>
                </c:pt>
                <c:pt idx="63">
                  <c:v>72.497056984394618</c:v>
                </c:pt>
                <c:pt idx="64">
                  <c:v>70.283322605873124</c:v>
                </c:pt>
                <c:pt idx="65">
                  <c:v>66.812327825988348</c:v>
                </c:pt>
                <c:pt idx="66">
                  <c:v>66.087591522653739</c:v>
                </c:pt>
                <c:pt idx="67">
                  <c:v>66.524016793233315</c:v>
                </c:pt>
                <c:pt idx="68">
                  <c:v>66.971361163903254</c:v>
                </c:pt>
                <c:pt idx="69">
                  <c:v>68.306356369777433</c:v>
                </c:pt>
                <c:pt idx="70">
                  <c:v>70.085422062244788</c:v>
                </c:pt>
                <c:pt idx="71">
                  <c:v>71.852022441891478</c:v>
                </c:pt>
                <c:pt idx="72">
                  <c:v>73.718690123671749</c:v>
                </c:pt>
                <c:pt idx="73">
                  <c:v>74.431686766892497</c:v>
                </c:pt>
                <c:pt idx="74">
                  <c:v>74.940156899713926</c:v>
                </c:pt>
              </c:numCache>
            </c:numRef>
          </c:val>
        </c:ser>
        <c:ser>
          <c:idx val="2"/>
          <c:order val="2"/>
          <c:tx>
            <c:strRef>
              <c:f>Sheet1!$O$7</c:f>
              <c:strCache>
                <c:ptCount val="1"/>
                <c:pt idx="0">
                  <c:v>Sociétés financières</c:v>
                </c:pt>
              </c:strCache>
            </c:strRef>
          </c:tx>
          <c:dLbls>
            <c:txPr>
              <a:bodyPr rot="-5400000" vert="horz"/>
              <a:lstStyle/>
              <a:p>
                <a:pPr>
                  <a:defRPr sz="800"/>
                </a:pPr>
                <a:endParaRPr lang="fr-FR"/>
              </a:p>
            </c:txPr>
            <c:showVal val="1"/>
          </c:dLbls>
          <c:cat>
            <c:strRef>
              <c:f>Sheet1!$A$9:$A$83</c:f>
              <c:strCache>
                <c:ptCount val="75"/>
                <c:pt idx="0">
                  <c:v>1945</c:v>
                </c:pt>
                <c:pt idx="1">
                  <c:v>1946</c:v>
                </c:pt>
                <c:pt idx="2">
                  <c:v>1947</c:v>
                </c:pt>
                <c:pt idx="3">
                  <c:v>1948</c:v>
                </c:pt>
                <c:pt idx="4">
                  <c:v>1949</c:v>
                </c:pt>
                <c:pt idx="5">
                  <c:v>1950</c:v>
                </c:pt>
                <c:pt idx="6">
                  <c:v>1951</c:v>
                </c:pt>
                <c:pt idx="7">
                  <c:v>1952</c:v>
                </c:pt>
                <c:pt idx="8">
                  <c:v>1953</c:v>
                </c:pt>
                <c:pt idx="9">
                  <c:v>1954</c:v>
                </c:pt>
                <c:pt idx="10">
                  <c:v>1955</c:v>
                </c:pt>
                <c:pt idx="11">
                  <c:v>1956</c:v>
                </c:pt>
                <c:pt idx="12">
                  <c:v>1957</c:v>
                </c:pt>
                <c:pt idx="13">
                  <c:v>1958</c:v>
                </c:pt>
                <c:pt idx="14">
                  <c:v>1959</c:v>
                </c:pt>
                <c:pt idx="15">
                  <c:v>1960</c:v>
                </c:pt>
                <c:pt idx="16">
                  <c:v>1961</c:v>
                </c:pt>
                <c:pt idx="17">
                  <c:v>1962</c:v>
                </c:pt>
                <c:pt idx="18">
                  <c:v>1963</c:v>
                </c:pt>
                <c:pt idx="19">
                  <c:v>1964</c:v>
                </c:pt>
                <c:pt idx="20">
                  <c:v>1965</c:v>
                </c:pt>
                <c:pt idx="21">
                  <c:v>1966</c:v>
                </c:pt>
                <c:pt idx="22">
                  <c:v>1967</c:v>
                </c:pt>
                <c:pt idx="23">
                  <c:v>1968</c:v>
                </c:pt>
                <c:pt idx="24">
                  <c:v>1969</c:v>
                </c:pt>
                <c:pt idx="25">
                  <c:v>1970</c:v>
                </c:pt>
                <c:pt idx="26">
                  <c:v>1971</c:v>
                </c:pt>
                <c:pt idx="27">
                  <c:v>1972</c:v>
                </c:pt>
                <c:pt idx="28">
                  <c:v>1973</c:v>
                </c:pt>
                <c:pt idx="29">
                  <c:v>1974</c:v>
                </c:pt>
                <c:pt idx="30">
                  <c:v>1975</c:v>
                </c:pt>
                <c:pt idx="31">
                  <c:v>1976</c:v>
                </c:pt>
                <c:pt idx="32">
                  <c:v>1977</c:v>
                </c:pt>
                <c:pt idx="33">
                  <c:v>1978</c:v>
                </c:pt>
                <c:pt idx="34">
                  <c:v>1979</c:v>
                </c:pt>
                <c:pt idx="35">
                  <c:v>1980</c:v>
                </c:pt>
                <c:pt idx="36">
                  <c:v>1981</c:v>
                </c:pt>
                <c:pt idx="37">
                  <c:v>1982</c:v>
                </c:pt>
                <c:pt idx="38">
                  <c:v>1983</c:v>
                </c:pt>
                <c:pt idx="39">
                  <c:v>1984</c:v>
                </c:pt>
                <c:pt idx="40">
                  <c:v>1985</c:v>
                </c:pt>
                <c:pt idx="41">
                  <c:v>1986</c:v>
                </c:pt>
                <c:pt idx="42">
                  <c:v>1987</c:v>
                </c:pt>
                <c:pt idx="43">
                  <c:v>1988</c:v>
                </c:pt>
                <c:pt idx="44">
                  <c:v>1989</c:v>
                </c:pt>
                <c:pt idx="45">
                  <c:v>1990</c:v>
                </c:pt>
                <c:pt idx="46">
                  <c:v>1991</c:v>
                </c:pt>
                <c:pt idx="47">
                  <c:v>1992</c:v>
                </c:pt>
                <c:pt idx="48">
                  <c:v>1993</c:v>
                </c:pt>
                <c:pt idx="49">
                  <c:v>1994</c:v>
                </c:pt>
                <c:pt idx="50">
                  <c:v>1995</c:v>
                </c:pt>
                <c:pt idx="51">
                  <c:v>1996</c:v>
                </c:pt>
                <c:pt idx="52">
                  <c:v>1997</c:v>
                </c:pt>
                <c:pt idx="53">
                  <c:v>1998</c:v>
                </c:pt>
                <c:pt idx="54">
                  <c:v>1999</c:v>
                </c:pt>
                <c:pt idx="55">
                  <c:v>2000</c:v>
                </c:pt>
                <c:pt idx="56">
                  <c:v>2001</c:v>
                </c:pt>
                <c:pt idx="57">
                  <c:v>2002</c:v>
                </c:pt>
                <c:pt idx="58">
                  <c:v>2003</c:v>
                </c:pt>
                <c:pt idx="59">
                  <c:v>2004</c:v>
                </c:pt>
                <c:pt idx="60">
                  <c:v>2005</c:v>
                </c:pt>
                <c:pt idx="61">
                  <c:v>2006</c:v>
                </c:pt>
                <c:pt idx="62">
                  <c:v>2007</c:v>
                </c:pt>
                <c:pt idx="63">
                  <c:v>2008</c:v>
                </c:pt>
                <c:pt idx="64">
                  <c:v>2009</c:v>
                </c:pt>
                <c:pt idx="65">
                  <c:v>2010</c:v>
                </c:pt>
                <c:pt idx="66">
                  <c:v>2011</c:v>
                </c:pt>
                <c:pt idx="67">
                  <c:v>2012</c:v>
                </c:pt>
                <c:pt idx="68">
                  <c:v>2013</c:v>
                </c:pt>
                <c:pt idx="69">
                  <c:v>2014</c:v>
                </c:pt>
                <c:pt idx="70">
                  <c:v>2015</c:v>
                </c:pt>
                <c:pt idx="71">
                  <c:v>2016</c:v>
                </c:pt>
                <c:pt idx="72">
                  <c:v>2017</c:v>
                </c:pt>
                <c:pt idx="73">
                  <c:v>2018</c:v>
                </c:pt>
                <c:pt idx="74">
                  <c:v>2019</c:v>
                </c:pt>
              </c:strCache>
            </c:strRef>
          </c:cat>
          <c:val>
            <c:numRef>
              <c:f>Sheet1!$O$9:$O$83</c:f>
              <c:numCache>
                <c:formatCode>0</c:formatCode>
                <c:ptCount val="75"/>
                <c:pt idx="0">
                  <c:v>2.4964912280701754</c:v>
                </c:pt>
                <c:pt idx="1">
                  <c:v>2.3054945054945057</c:v>
                </c:pt>
                <c:pt idx="2">
                  <c:v>2.1073717948717987</c:v>
                </c:pt>
                <c:pt idx="3">
                  <c:v>2.6597449908925319</c:v>
                </c:pt>
                <c:pt idx="4">
                  <c:v>3.1622018348623855</c:v>
                </c:pt>
                <c:pt idx="5">
                  <c:v>3.7808539026017352</c:v>
                </c:pt>
                <c:pt idx="6">
                  <c:v>3.5027385413663903</c:v>
                </c:pt>
                <c:pt idx="7">
                  <c:v>3.8189490879390138</c:v>
                </c:pt>
                <c:pt idx="8">
                  <c:v>4.1158787255909557</c:v>
                </c:pt>
                <c:pt idx="9">
                  <c:v>4.2601792573623545</c:v>
                </c:pt>
                <c:pt idx="10">
                  <c:v>4.6686251468860114</c:v>
                </c:pt>
                <c:pt idx="11">
                  <c:v>4.8776145972407665</c:v>
                </c:pt>
                <c:pt idx="12">
                  <c:v>5.2609704641350215</c:v>
                </c:pt>
                <c:pt idx="13">
                  <c:v>5.3345802161263407</c:v>
                </c:pt>
                <c:pt idx="14">
                  <c:v>6.1958980256852545</c:v>
                </c:pt>
                <c:pt idx="15">
                  <c:v>6.9522492625368733</c:v>
                </c:pt>
                <c:pt idx="16">
                  <c:v>7.2821060120953396</c:v>
                </c:pt>
                <c:pt idx="17">
                  <c:v>7.6742838218248064</c:v>
                </c:pt>
                <c:pt idx="18">
                  <c:v>8.4901960784313726</c:v>
                </c:pt>
                <c:pt idx="19">
                  <c:v>8.9178962746530406</c:v>
                </c:pt>
                <c:pt idx="20">
                  <c:v>9.4503569985181208</c:v>
                </c:pt>
                <c:pt idx="21">
                  <c:v>10.068600934349655</c:v>
                </c:pt>
                <c:pt idx="22">
                  <c:v>9.9913953488372087</c:v>
                </c:pt>
                <c:pt idx="23">
                  <c:v>10.600829169767193</c:v>
                </c:pt>
                <c:pt idx="24">
                  <c:v>12.204205974842765</c:v>
                </c:pt>
                <c:pt idx="25">
                  <c:v>13.182987049287258</c:v>
                </c:pt>
                <c:pt idx="26">
                  <c:v>13.139754485363548</c:v>
                </c:pt>
                <c:pt idx="27">
                  <c:v>14.132671409584857</c:v>
                </c:pt>
                <c:pt idx="28">
                  <c:v>15.710397081520968</c:v>
                </c:pt>
                <c:pt idx="29">
                  <c:v>17.52355682112346</c:v>
                </c:pt>
                <c:pt idx="30">
                  <c:v>16.457534571784656</c:v>
                </c:pt>
                <c:pt idx="31">
                  <c:v>16.4852674282054</c:v>
                </c:pt>
                <c:pt idx="32">
                  <c:v>17.431933903352867</c:v>
                </c:pt>
                <c:pt idx="33">
                  <c:v>18.695441401598913</c:v>
                </c:pt>
                <c:pt idx="34">
                  <c:v>20.479732044304015</c:v>
                </c:pt>
                <c:pt idx="35">
                  <c:v>21.704126273054982</c:v>
                </c:pt>
                <c:pt idx="36">
                  <c:v>22.562550670408481</c:v>
                </c:pt>
                <c:pt idx="37">
                  <c:v>24.625426161851781</c:v>
                </c:pt>
                <c:pt idx="38">
                  <c:v>25.622867363786494</c:v>
                </c:pt>
                <c:pt idx="39">
                  <c:v>27.355310085199129</c:v>
                </c:pt>
                <c:pt idx="40">
                  <c:v>30.84111546439274</c:v>
                </c:pt>
                <c:pt idx="41">
                  <c:v>36.75908376277404</c:v>
                </c:pt>
                <c:pt idx="42">
                  <c:v>40.344867358708122</c:v>
                </c:pt>
                <c:pt idx="43">
                  <c:v>42.226816133221313</c:v>
                </c:pt>
                <c:pt idx="44">
                  <c:v>43.671671157118489</c:v>
                </c:pt>
                <c:pt idx="45">
                  <c:v>44.913736143952008</c:v>
                </c:pt>
                <c:pt idx="46">
                  <c:v>46.439405011285942</c:v>
                </c:pt>
                <c:pt idx="47">
                  <c:v>47.653742925939021</c:v>
                </c:pt>
                <c:pt idx="48">
                  <c:v>50.510570670399204</c:v>
                </c:pt>
                <c:pt idx="49">
                  <c:v>54.079056427708856</c:v>
                </c:pt>
                <c:pt idx="50">
                  <c:v>57.739767268348224</c:v>
                </c:pt>
                <c:pt idx="51">
                  <c:v>61.757305124425599</c:v>
                </c:pt>
                <c:pt idx="52">
                  <c:v>64.906477336317849</c:v>
                </c:pt>
                <c:pt idx="53">
                  <c:v>73.436399346780249</c:v>
                </c:pt>
                <c:pt idx="54">
                  <c:v>80.631542878503026</c:v>
                </c:pt>
                <c:pt idx="55">
                  <c:v>84.624201398710539</c:v>
                </c:pt>
                <c:pt idx="56">
                  <c:v>91.579438280821677</c:v>
                </c:pt>
                <c:pt idx="57">
                  <c:v>96.258896894773358</c:v>
                </c:pt>
                <c:pt idx="58">
                  <c:v>100.69206332582779</c:v>
                </c:pt>
                <c:pt idx="59">
                  <c:v>103.51642827316864</c:v>
                </c:pt>
                <c:pt idx="60">
                  <c:v>105.30293174600735</c:v>
                </c:pt>
                <c:pt idx="61">
                  <c:v>109.41967917999804</c:v>
                </c:pt>
                <c:pt idx="62">
                  <c:v>119.64588047246369</c:v>
                </c:pt>
                <c:pt idx="63">
                  <c:v>122.3522239138709</c:v>
                </c:pt>
                <c:pt idx="64">
                  <c:v>114.55256801555817</c:v>
                </c:pt>
                <c:pt idx="65">
                  <c:v>103.51909338918497</c:v>
                </c:pt>
                <c:pt idx="66">
                  <c:v>96.778872260754156</c:v>
                </c:pt>
                <c:pt idx="67">
                  <c:v>91.809193060443292</c:v>
                </c:pt>
                <c:pt idx="68">
                  <c:v>89.480592675559549</c:v>
                </c:pt>
                <c:pt idx="69">
                  <c:v>87.215207134013781</c:v>
                </c:pt>
                <c:pt idx="70">
                  <c:v>83.742987577367117</c:v>
                </c:pt>
                <c:pt idx="71">
                  <c:v>83.928164573871229</c:v>
                </c:pt>
                <c:pt idx="72">
                  <c:v>81.946191993606362</c:v>
                </c:pt>
                <c:pt idx="73">
                  <c:v>79.309535378664805</c:v>
                </c:pt>
                <c:pt idx="74">
                  <c:v>77.944137728267691</c:v>
                </c:pt>
              </c:numCache>
            </c:numRef>
          </c:val>
        </c:ser>
        <c:ser>
          <c:idx val="3"/>
          <c:order val="3"/>
          <c:tx>
            <c:strRef>
              <c:f>Sheet1!$P$7</c:f>
              <c:strCache>
                <c:ptCount val="1"/>
                <c:pt idx="0">
                  <c:v>Etat</c:v>
                </c:pt>
              </c:strCache>
            </c:strRef>
          </c:tx>
          <c:dLbls>
            <c:txPr>
              <a:bodyPr rot="-5400000" vert="horz"/>
              <a:lstStyle/>
              <a:p>
                <a:pPr>
                  <a:defRPr sz="800"/>
                </a:pPr>
                <a:endParaRPr lang="fr-FR"/>
              </a:p>
            </c:txPr>
            <c:showVal val="1"/>
          </c:dLbls>
          <c:cat>
            <c:strRef>
              <c:f>Sheet1!$A$9:$A$83</c:f>
              <c:strCache>
                <c:ptCount val="75"/>
                <c:pt idx="0">
                  <c:v>1945</c:v>
                </c:pt>
                <c:pt idx="1">
                  <c:v>1946</c:v>
                </c:pt>
                <c:pt idx="2">
                  <c:v>1947</c:v>
                </c:pt>
                <c:pt idx="3">
                  <c:v>1948</c:v>
                </c:pt>
                <c:pt idx="4">
                  <c:v>1949</c:v>
                </c:pt>
                <c:pt idx="5">
                  <c:v>1950</c:v>
                </c:pt>
                <c:pt idx="6">
                  <c:v>1951</c:v>
                </c:pt>
                <c:pt idx="7">
                  <c:v>1952</c:v>
                </c:pt>
                <c:pt idx="8">
                  <c:v>1953</c:v>
                </c:pt>
                <c:pt idx="9">
                  <c:v>1954</c:v>
                </c:pt>
                <c:pt idx="10">
                  <c:v>1955</c:v>
                </c:pt>
                <c:pt idx="11">
                  <c:v>1956</c:v>
                </c:pt>
                <c:pt idx="12">
                  <c:v>1957</c:v>
                </c:pt>
                <c:pt idx="13">
                  <c:v>1958</c:v>
                </c:pt>
                <c:pt idx="14">
                  <c:v>1959</c:v>
                </c:pt>
                <c:pt idx="15">
                  <c:v>1960</c:v>
                </c:pt>
                <c:pt idx="16">
                  <c:v>1961</c:v>
                </c:pt>
                <c:pt idx="17">
                  <c:v>1962</c:v>
                </c:pt>
                <c:pt idx="18">
                  <c:v>1963</c:v>
                </c:pt>
                <c:pt idx="19">
                  <c:v>1964</c:v>
                </c:pt>
                <c:pt idx="20">
                  <c:v>1965</c:v>
                </c:pt>
                <c:pt idx="21">
                  <c:v>1966</c:v>
                </c:pt>
                <c:pt idx="22">
                  <c:v>1967</c:v>
                </c:pt>
                <c:pt idx="23">
                  <c:v>1968</c:v>
                </c:pt>
                <c:pt idx="24">
                  <c:v>1969</c:v>
                </c:pt>
                <c:pt idx="25">
                  <c:v>1970</c:v>
                </c:pt>
                <c:pt idx="26">
                  <c:v>1971</c:v>
                </c:pt>
                <c:pt idx="27">
                  <c:v>1972</c:v>
                </c:pt>
                <c:pt idx="28">
                  <c:v>1973</c:v>
                </c:pt>
                <c:pt idx="29">
                  <c:v>1974</c:v>
                </c:pt>
                <c:pt idx="30">
                  <c:v>1975</c:v>
                </c:pt>
                <c:pt idx="31">
                  <c:v>1976</c:v>
                </c:pt>
                <c:pt idx="32">
                  <c:v>1977</c:v>
                </c:pt>
                <c:pt idx="33">
                  <c:v>1978</c:v>
                </c:pt>
                <c:pt idx="34">
                  <c:v>1979</c:v>
                </c:pt>
                <c:pt idx="35">
                  <c:v>1980</c:v>
                </c:pt>
                <c:pt idx="36">
                  <c:v>1981</c:v>
                </c:pt>
                <c:pt idx="37">
                  <c:v>1982</c:v>
                </c:pt>
                <c:pt idx="38">
                  <c:v>1983</c:v>
                </c:pt>
                <c:pt idx="39">
                  <c:v>1984</c:v>
                </c:pt>
                <c:pt idx="40">
                  <c:v>1985</c:v>
                </c:pt>
                <c:pt idx="41">
                  <c:v>1986</c:v>
                </c:pt>
                <c:pt idx="42">
                  <c:v>1987</c:v>
                </c:pt>
                <c:pt idx="43">
                  <c:v>1988</c:v>
                </c:pt>
                <c:pt idx="44">
                  <c:v>1989</c:v>
                </c:pt>
                <c:pt idx="45">
                  <c:v>1990</c:v>
                </c:pt>
                <c:pt idx="46">
                  <c:v>1991</c:v>
                </c:pt>
                <c:pt idx="47">
                  <c:v>1992</c:v>
                </c:pt>
                <c:pt idx="48">
                  <c:v>1993</c:v>
                </c:pt>
                <c:pt idx="49">
                  <c:v>1994</c:v>
                </c:pt>
                <c:pt idx="50">
                  <c:v>1995</c:v>
                </c:pt>
                <c:pt idx="51">
                  <c:v>1996</c:v>
                </c:pt>
                <c:pt idx="52">
                  <c:v>1997</c:v>
                </c:pt>
                <c:pt idx="53">
                  <c:v>1998</c:v>
                </c:pt>
                <c:pt idx="54">
                  <c:v>1999</c:v>
                </c:pt>
                <c:pt idx="55">
                  <c:v>2000</c:v>
                </c:pt>
                <c:pt idx="56">
                  <c:v>2001</c:v>
                </c:pt>
                <c:pt idx="57">
                  <c:v>2002</c:v>
                </c:pt>
                <c:pt idx="58">
                  <c:v>2003</c:v>
                </c:pt>
                <c:pt idx="59">
                  <c:v>2004</c:v>
                </c:pt>
                <c:pt idx="60">
                  <c:v>2005</c:v>
                </c:pt>
                <c:pt idx="61">
                  <c:v>2006</c:v>
                </c:pt>
                <c:pt idx="62">
                  <c:v>2007</c:v>
                </c:pt>
                <c:pt idx="63">
                  <c:v>2008</c:v>
                </c:pt>
                <c:pt idx="64">
                  <c:v>2009</c:v>
                </c:pt>
                <c:pt idx="65">
                  <c:v>2010</c:v>
                </c:pt>
                <c:pt idx="66">
                  <c:v>2011</c:v>
                </c:pt>
                <c:pt idx="67">
                  <c:v>2012</c:v>
                </c:pt>
                <c:pt idx="68">
                  <c:v>2013</c:v>
                </c:pt>
                <c:pt idx="69">
                  <c:v>2014</c:v>
                </c:pt>
                <c:pt idx="70">
                  <c:v>2015</c:v>
                </c:pt>
                <c:pt idx="71">
                  <c:v>2016</c:v>
                </c:pt>
                <c:pt idx="72">
                  <c:v>2017</c:v>
                </c:pt>
                <c:pt idx="73">
                  <c:v>2018</c:v>
                </c:pt>
                <c:pt idx="74">
                  <c:v>2019</c:v>
                </c:pt>
              </c:strCache>
            </c:strRef>
          </c:cat>
          <c:val>
            <c:numRef>
              <c:f>Sheet1!$P$9:$P$83</c:f>
              <c:numCache>
                <c:formatCode>0</c:formatCode>
                <c:ptCount val="75"/>
                <c:pt idx="0">
                  <c:v>117.11403508771929</c:v>
                </c:pt>
                <c:pt idx="1">
                  <c:v>107.24791208791223</c:v>
                </c:pt>
                <c:pt idx="2">
                  <c:v>95.837740384615387</c:v>
                </c:pt>
                <c:pt idx="3">
                  <c:v>85.875774134790319</c:v>
                </c:pt>
                <c:pt idx="4">
                  <c:v>88.164036697247724</c:v>
                </c:pt>
                <c:pt idx="5">
                  <c:v>81.535690460306867</c:v>
                </c:pt>
                <c:pt idx="6">
                  <c:v>71.228596137215348</c:v>
                </c:pt>
                <c:pt idx="7">
                  <c:v>70.956711135311679</c:v>
                </c:pt>
                <c:pt idx="8">
                  <c:v>70.186279547790349</c:v>
                </c:pt>
                <c:pt idx="9">
                  <c:v>72.035083226632509</c:v>
                </c:pt>
                <c:pt idx="10">
                  <c:v>67.267920094007181</c:v>
                </c:pt>
                <c:pt idx="11">
                  <c:v>63.511348464619438</c:v>
                </c:pt>
                <c:pt idx="12">
                  <c:v>60.818354430379763</c:v>
                </c:pt>
                <c:pt idx="13">
                  <c:v>63.184330839567785</c:v>
                </c:pt>
                <c:pt idx="14">
                  <c:v>60.930803143569101</c:v>
                </c:pt>
                <c:pt idx="15">
                  <c:v>59.417957227138615</c:v>
                </c:pt>
                <c:pt idx="16">
                  <c:v>59.763607257203795</c:v>
                </c:pt>
                <c:pt idx="17">
                  <c:v>57.925815532372958</c:v>
                </c:pt>
                <c:pt idx="18">
                  <c:v>56.509960784313705</c:v>
                </c:pt>
                <c:pt idx="19">
                  <c:v>54.628634039444862</c:v>
                </c:pt>
                <c:pt idx="20">
                  <c:v>51.788495217567018</c:v>
                </c:pt>
                <c:pt idx="21">
                  <c:v>48.701499877059256</c:v>
                </c:pt>
                <c:pt idx="22">
                  <c:v>48.573720930232554</c:v>
                </c:pt>
                <c:pt idx="23">
                  <c:v>46.810247687891938</c:v>
                </c:pt>
                <c:pt idx="24">
                  <c:v>44.304245283018844</c:v>
                </c:pt>
                <c:pt idx="25">
                  <c:v>44.474424671573587</c:v>
                </c:pt>
                <c:pt idx="26">
                  <c:v>44.767104472486899</c:v>
                </c:pt>
                <c:pt idx="27">
                  <c:v>43.269486357595191</c:v>
                </c:pt>
                <c:pt idx="28">
                  <c:v>40.452364248631959</c:v>
                </c:pt>
                <c:pt idx="29">
                  <c:v>39.132151177841052</c:v>
                </c:pt>
                <c:pt idx="30">
                  <c:v>41.859160781055245</c:v>
                </c:pt>
                <c:pt idx="31">
                  <c:v>42.571901355823599</c:v>
                </c:pt>
                <c:pt idx="32">
                  <c:v>42.212076088000799</c:v>
                </c:pt>
                <c:pt idx="33">
                  <c:v>41.576756251063095</c:v>
                </c:pt>
                <c:pt idx="34">
                  <c:v>39.893617021276548</c:v>
                </c:pt>
                <c:pt idx="35">
                  <c:v>40.479403632800192</c:v>
                </c:pt>
                <c:pt idx="36">
                  <c:v>39.903710632990332</c:v>
                </c:pt>
                <c:pt idx="37">
                  <c:v>44.703720318200887</c:v>
                </c:pt>
                <c:pt idx="38">
                  <c:v>47.933104017611399</c:v>
                </c:pt>
                <c:pt idx="39">
                  <c:v>49.784302555973852</c:v>
                </c:pt>
                <c:pt idx="40">
                  <c:v>56.232887762157176</c:v>
                </c:pt>
                <c:pt idx="41">
                  <c:v>60.260219233120864</c:v>
                </c:pt>
                <c:pt idx="42">
                  <c:v>62.289710001647727</c:v>
                </c:pt>
                <c:pt idx="43">
                  <c:v>62.306240928882424</c:v>
                </c:pt>
                <c:pt idx="44">
                  <c:v>61.877570192853092</c:v>
                </c:pt>
                <c:pt idx="45">
                  <c:v>64.030286260502095</c:v>
                </c:pt>
                <c:pt idx="46">
                  <c:v>68.624380896705006</c:v>
                </c:pt>
                <c:pt idx="47">
                  <c:v>70.337653175467395</c:v>
                </c:pt>
                <c:pt idx="48">
                  <c:v>71.98805878750764</c:v>
                </c:pt>
                <c:pt idx="49">
                  <c:v>69.784306729608076</c:v>
                </c:pt>
                <c:pt idx="50">
                  <c:v>68.048810817178648</c:v>
                </c:pt>
                <c:pt idx="51">
                  <c:v>66.508181491620249</c:v>
                </c:pt>
                <c:pt idx="52">
                  <c:v>63.927415594105582</c:v>
                </c:pt>
                <c:pt idx="53">
                  <c:v>61.116200291300707</c:v>
                </c:pt>
                <c:pt idx="54">
                  <c:v>57.586769393709694</c:v>
                </c:pt>
                <c:pt idx="55">
                  <c:v>51.577860577626389</c:v>
                </c:pt>
                <c:pt idx="56">
                  <c:v>51.490171804418949</c:v>
                </c:pt>
                <c:pt idx="57">
                  <c:v>53.721773161186505</c:v>
                </c:pt>
                <c:pt idx="58">
                  <c:v>55.998935260337582</c:v>
                </c:pt>
                <c:pt idx="59">
                  <c:v>63.324250636580238</c:v>
                </c:pt>
                <c:pt idx="60">
                  <c:v>63.157295613887044</c:v>
                </c:pt>
                <c:pt idx="61">
                  <c:v>62.033225717718935</c:v>
                </c:pt>
                <c:pt idx="62">
                  <c:v>62.360547748046955</c:v>
                </c:pt>
                <c:pt idx="63">
                  <c:v>70.39512533304331</c:v>
                </c:pt>
                <c:pt idx="64">
                  <c:v>83.076068074386214</c:v>
                </c:pt>
                <c:pt idx="65">
                  <c:v>91.614423596427443</c:v>
                </c:pt>
                <c:pt idx="66">
                  <c:v>95.457053517429458</c:v>
                </c:pt>
                <c:pt idx="67">
                  <c:v>98.899240600111199</c:v>
                </c:pt>
                <c:pt idx="68">
                  <c:v>100.23438924271224</c:v>
                </c:pt>
                <c:pt idx="69">
                  <c:v>99.973293091349021</c:v>
                </c:pt>
                <c:pt idx="70">
                  <c:v>100.18303081515286</c:v>
                </c:pt>
                <c:pt idx="71">
                  <c:v>102.24462730430143</c:v>
                </c:pt>
                <c:pt idx="72">
                  <c:v>101.09006936688627</c:v>
                </c:pt>
                <c:pt idx="73">
                  <c:v>101.74773811721937</c:v>
                </c:pt>
                <c:pt idx="74">
                  <c:v>103.32774399492244</c:v>
                </c:pt>
              </c:numCache>
            </c:numRef>
          </c:val>
        </c:ser>
        <c:gapWidth val="26"/>
        <c:overlap val="100"/>
        <c:axId val="116485504"/>
        <c:axId val="116495488"/>
      </c:barChart>
      <c:catAx>
        <c:axId val="116485504"/>
        <c:scaling>
          <c:orientation val="minMax"/>
        </c:scaling>
        <c:axPos val="b"/>
        <c:tickLblPos val="nextTo"/>
        <c:txPr>
          <a:bodyPr rot="-5400000" vert="horz"/>
          <a:lstStyle/>
          <a:p>
            <a:pPr>
              <a:defRPr sz="800"/>
            </a:pPr>
            <a:endParaRPr lang="fr-FR"/>
          </a:p>
        </c:txPr>
        <c:crossAx val="116495488"/>
        <c:crosses val="autoZero"/>
        <c:auto val="1"/>
        <c:lblAlgn val="ctr"/>
        <c:lblOffset val="100"/>
      </c:catAx>
      <c:valAx>
        <c:axId val="116495488"/>
        <c:scaling>
          <c:orientation val="minMax"/>
        </c:scaling>
        <c:axPos val="l"/>
        <c:majorGridlines/>
        <c:minorGridlines/>
        <c:numFmt formatCode="0" sourceLinked="1"/>
        <c:tickLblPos val="nextTo"/>
        <c:txPr>
          <a:bodyPr/>
          <a:lstStyle/>
          <a:p>
            <a:pPr>
              <a:defRPr sz="800"/>
            </a:pPr>
            <a:endParaRPr lang="fr-FR"/>
          </a:p>
        </c:txPr>
        <c:crossAx val="116485504"/>
        <c:crosses val="autoZero"/>
        <c:crossBetween val="between"/>
      </c:valAx>
    </c:plotArea>
    <c:legend>
      <c:legendPos val="r"/>
      <c:layout>
        <c:manualLayout>
          <c:xMode val="edge"/>
          <c:yMode val="edge"/>
          <c:x val="8.1031415441670543E-2"/>
          <c:y val="7.3543882732674065E-2"/>
          <c:w val="0.19197580368369327"/>
          <c:h val="0.15108439382414052"/>
        </c:manualLayout>
      </c:layout>
      <c:spPr>
        <a:solidFill>
          <a:schemeClr val="bg1"/>
        </a:solidFill>
        <a:ln>
          <a:solidFill>
            <a:schemeClr val="tx1"/>
          </a:solidFill>
        </a:ln>
      </c:spPr>
      <c:txPr>
        <a:bodyPr/>
        <a:lstStyle/>
        <a:p>
          <a:pPr>
            <a:defRPr sz="800"/>
          </a:pPr>
          <a:endParaRPr lang="fr-FR"/>
        </a:p>
      </c:txPr>
    </c:legend>
    <c:plotVisOnly val="1"/>
  </c:chart>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3429</Words>
  <Characters>18862</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2019-06-30T07:26:00Z</cp:lastPrinted>
  <dcterms:created xsi:type="dcterms:W3CDTF">2020-07-09T12:09:00Z</dcterms:created>
  <dcterms:modified xsi:type="dcterms:W3CDTF">2020-07-09T12:09:00Z</dcterms:modified>
</cp:coreProperties>
</file>