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6ECA" w:rsidRPr="00A75F80" w:rsidRDefault="00D848FD" w:rsidP="00BC10DE">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36"/>
          <w:szCs w:val="36"/>
        </w:rPr>
      </w:pPr>
      <w:r w:rsidRPr="00A75F80">
        <w:rPr>
          <w:rFonts w:asciiTheme="minorHAnsi" w:hAnsiTheme="minorHAnsi" w:cstheme="minorHAnsi"/>
          <w:b/>
          <w:sz w:val="36"/>
          <w:szCs w:val="36"/>
        </w:rPr>
        <w:t>Comment expliquer les crises financières et réguler le système financier</w:t>
      </w:r>
      <w:r w:rsidR="00B36ECA" w:rsidRPr="00A75F80">
        <w:rPr>
          <w:rFonts w:asciiTheme="minorHAnsi" w:hAnsiTheme="minorHAnsi" w:cstheme="minorHAnsi"/>
          <w:b/>
          <w:sz w:val="36"/>
          <w:szCs w:val="36"/>
        </w:rPr>
        <w:t> ?</w:t>
      </w:r>
    </w:p>
    <w:p w:rsidR="00B36ECA" w:rsidRPr="00A75F80" w:rsidRDefault="00B36ECA" w:rsidP="00BC10DE">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36"/>
          <w:szCs w:val="36"/>
        </w:rPr>
      </w:pPr>
      <w:r w:rsidRPr="00A75F80">
        <w:rPr>
          <w:rFonts w:asciiTheme="minorHAnsi" w:hAnsiTheme="minorHAnsi" w:cstheme="minorHAnsi"/>
          <w:b/>
          <w:sz w:val="36"/>
          <w:szCs w:val="36"/>
        </w:rPr>
        <w:t>--</w:t>
      </w:r>
    </w:p>
    <w:p w:rsidR="00B36ECA" w:rsidRPr="00A75F80" w:rsidRDefault="0087584A" w:rsidP="00BC10DE">
      <w:pPr>
        <w:pBdr>
          <w:top w:val="single" w:sz="4" w:space="1" w:color="auto"/>
          <w:left w:val="single" w:sz="4" w:space="4" w:color="auto"/>
          <w:bottom w:val="single" w:sz="4" w:space="1" w:color="auto"/>
          <w:right w:val="single" w:sz="4" w:space="4" w:color="auto"/>
        </w:pBdr>
        <w:jc w:val="center"/>
        <w:rPr>
          <w:rFonts w:asciiTheme="minorHAnsi" w:hAnsiTheme="minorHAnsi" w:cstheme="minorHAnsi"/>
          <w:b/>
          <w:sz w:val="36"/>
          <w:szCs w:val="36"/>
        </w:rPr>
      </w:pPr>
      <w:r>
        <w:rPr>
          <w:rFonts w:asciiTheme="minorHAnsi" w:hAnsiTheme="minorHAnsi" w:cstheme="minorHAnsi"/>
          <w:b/>
          <w:sz w:val="36"/>
          <w:szCs w:val="36"/>
        </w:rPr>
        <w:t>Qu’est-ce que le système financier ?</w:t>
      </w:r>
      <w:r w:rsidR="00D848FD" w:rsidRPr="00A75F80">
        <w:rPr>
          <w:rFonts w:asciiTheme="minorHAnsi" w:hAnsiTheme="minorHAnsi" w:cstheme="minorHAnsi"/>
          <w:b/>
          <w:sz w:val="36"/>
          <w:szCs w:val="36"/>
        </w:rPr>
        <w:t xml:space="preserve"> (</w:t>
      </w:r>
      <w:r>
        <w:rPr>
          <w:rFonts w:asciiTheme="minorHAnsi" w:hAnsiTheme="minorHAnsi" w:cstheme="minorHAnsi"/>
          <w:b/>
          <w:sz w:val="36"/>
          <w:szCs w:val="36"/>
        </w:rPr>
        <w:t>1</w:t>
      </w:r>
      <w:r w:rsidR="00B36ECA" w:rsidRPr="00A75F80">
        <w:rPr>
          <w:rFonts w:asciiTheme="minorHAnsi" w:hAnsiTheme="minorHAnsi" w:cstheme="minorHAnsi"/>
          <w:b/>
          <w:sz w:val="36"/>
          <w:szCs w:val="36"/>
        </w:rPr>
        <w:t>/5)</w:t>
      </w:r>
    </w:p>
    <w:p w:rsidR="00B36ECA" w:rsidRPr="00BC10DE" w:rsidRDefault="00B36ECA" w:rsidP="00BC10DE">
      <w:pPr>
        <w:pBdr>
          <w:top w:val="single" w:sz="4" w:space="1" w:color="auto"/>
          <w:left w:val="single" w:sz="4" w:space="4" w:color="auto"/>
          <w:bottom w:val="single" w:sz="4" w:space="1" w:color="auto"/>
          <w:right w:val="single" w:sz="4" w:space="4" w:color="auto"/>
        </w:pBdr>
        <w:jc w:val="center"/>
        <w:rPr>
          <w:b/>
          <w:sz w:val="36"/>
          <w:szCs w:val="36"/>
        </w:rPr>
      </w:pPr>
      <w:r w:rsidRPr="00BC10DE">
        <w:rPr>
          <w:b/>
          <w:sz w:val="36"/>
          <w:szCs w:val="36"/>
        </w:rPr>
        <w:t>--</w:t>
      </w:r>
    </w:p>
    <w:p w:rsidR="00E61E55" w:rsidRPr="00BC10DE" w:rsidRDefault="00B36ECA" w:rsidP="00BC10DE">
      <w:pPr>
        <w:pBdr>
          <w:top w:val="single" w:sz="4" w:space="1" w:color="auto"/>
          <w:left w:val="single" w:sz="4" w:space="4" w:color="auto"/>
          <w:bottom w:val="single" w:sz="4" w:space="1" w:color="auto"/>
          <w:right w:val="single" w:sz="4" w:space="4" w:color="auto"/>
        </w:pBdr>
        <w:jc w:val="center"/>
        <w:rPr>
          <w:b/>
          <w:sz w:val="36"/>
          <w:szCs w:val="36"/>
        </w:rPr>
      </w:pPr>
      <w:r w:rsidRPr="00BC10DE">
        <w:rPr>
          <w:b/>
          <w:sz w:val="36"/>
          <w:szCs w:val="36"/>
        </w:rPr>
        <w:t>F</w:t>
      </w:r>
      <w:bookmarkStart w:id="0" w:name="_GoBack"/>
      <w:bookmarkEnd w:id="0"/>
      <w:r w:rsidRPr="00BC10DE">
        <w:rPr>
          <w:b/>
          <w:sz w:val="36"/>
          <w:szCs w:val="36"/>
        </w:rPr>
        <w:t>ichier d’activités</w:t>
      </w:r>
    </w:p>
    <w:p w:rsidR="00B36ECA" w:rsidRDefault="00B36ECA" w:rsidP="00E61E55">
      <w:pPr>
        <w:pBdr>
          <w:bottom w:val="single" w:sz="4" w:space="1" w:color="auto"/>
        </w:pBdr>
        <w:jc w:val="center"/>
        <w:rPr>
          <w:rFonts w:ascii="Calibri Light" w:hAnsi="Calibri Light"/>
          <w:b/>
          <w:color w:val="000000" w:themeColor="text1"/>
          <w:sz w:val="28"/>
          <w:szCs w:val="28"/>
        </w:rPr>
      </w:pPr>
    </w:p>
    <w:p w:rsidR="00B36ECA" w:rsidRPr="001B6B65" w:rsidRDefault="00B36ECA" w:rsidP="00E61E55">
      <w:pPr>
        <w:pBdr>
          <w:bottom w:val="single" w:sz="4" w:space="1" w:color="auto"/>
        </w:pBdr>
        <w:jc w:val="center"/>
        <w:rPr>
          <w:rFonts w:ascii="Calibri Light" w:hAnsi="Calibri Light"/>
          <w:b/>
          <w:color w:val="000000" w:themeColor="text1"/>
          <w:sz w:val="28"/>
          <w:szCs w:val="28"/>
        </w:rPr>
      </w:pPr>
    </w:p>
    <w:p w:rsidR="00E61E55" w:rsidRPr="00506EBE" w:rsidRDefault="00E61E55" w:rsidP="00E61E55">
      <w:pPr>
        <w:pBdr>
          <w:bottom w:val="single" w:sz="4" w:space="1" w:color="auto"/>
        </w:pBdr>
        <w:jc w:val="center"/>
        <w:rPr>
          <w:rStyle w:val="Lienhypertexte"/>
          <w:rFonts w:ascii="Calibri Light" w:hAnsi="Calibri Light"/>
          <w:b/>
          <w:color w:val="000000" w:themeColor="text1"/>
          <w:sz w:val="32"/>
          <w:szCs w:val="32"/>
        </w:rPr>
      </w:pPr>
      <w:r>
        <w:rPr>
          <w:rFonts w:ascii="Calibri Light" w:hAnsi="Calibri Light" w:cs="Calibri Light"/>
          <w:b/>
          <w:color w:val="000000" w:themeColor="text1"/>
          <w:sz w:val="32"/>
          <w:szCs w:val="32"/>
        </w:rPr>
        <w:t>É</w:t>
      </w:r>
      <w:r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1</w:t>
      </w:r>
      <w:r w:rsidRPr="00506EBE">
        <w:rPr>
          <w:rFonts w:ascii="Calibri Light" w:hAnsi="Calibri Light"/>
          <w:b/>
          <w:color w:val="000000" w:themeColor="text1"/>
          <w:sz w:val="32"/>
          <w:szCs w:val="32"/>
        </w:rPr>
        <w:t> : (</w:t>
      </w:r>
      <w:r w:rsidR="00773C57">
        <w:rPr>
          <w:rFonts w:ascii="Calibri Light" w:hAnsi="Calibri Light"/>
          <w:b/>
          <w:color w:val="000000" w:themeColor="text1"/>
          <w:sz w:val="32"/>
          <w:szCs w:val="32"/>
        </w:rPr>
        <w:t>3</w:t>
      </w:r>
      <w:r w:rsidR="009426AB">
        <w:rPr>
          <w:rFonts w:ascii="Calibri Light" w:hAnsi="Calibri Light"/>
          <w:b/>
          <w:color w:val="000000" w:themeColor="text1"/>
          <w:sz w:val="32"/>
          <w:szCs w:val="32"/>
        </w:rPr>
        <w:t xml:space="preserve"> </w:t>
      </w:r>
      <w:r>
        <w:rPr>
          <w:rFonts w:ascii="Calibri Light" w:hAnsi="Calibri Light"/>
          <w:b/>
          <w:color w:val="000000" w:themeColor="text1"/>
          <w:sz w:val="32"/>
          <w:szCs w:val="32"/>
        </w:rPr>
        <w:t>h</w:t>
      </w:r>
      <w:r w:rsidRPr="00506EBE">
        <w:rPr>
          <w:rFonts w:ascii="Calibri Light" w:hAnsi="Calibri Light"/>
          <w:b/>
          <w:color w:val="000000" w:themeColor="text1"/>
          <w:sz w:val="32"/>
          <w:szCs w:val="32"/>
        </w:rPr>
        <w:t>)</w:t>
      </w:r>
    </w:p>
    <w:p w:rsidR="004233CC" w:rsidRPr="00C14F95" w:rsidRDefault="004233CC" w:rsidP="00C14F95">
      <w:pPr>
        <w:pStyle w:val="Sansinterligne"/>
      </w:pPr>
    </w:p>
    <w:p w:rsidR="0087584A" w:rsidRPr="0087584A" w:rsidRDefault="0087584A" w:rsidP="0087584A">
      <w:pPr>
        <w:pStyle w:val="Titre"/>
        <w:jc w:val="left"/>
        <w:rPr>
          <w:rFonts w:asciiTheme="minorHAnsi" w:hAnsiTheme="minorHAnsi" w:cstheme="minorHAnsi"/>
          <w:b w:val="0"/>
          <w:color w:val="auto"/>
          <w:sz w:val="24"/>
          <w:szCs w:val="24"/>
          <w:u w:val="none"/>
        </w:rPr>
      </w:pPr>
      <w:r w:rsidRPr="0087584A">
        <w:rPr>
          <w:rFonts w:asciiTheme="minorHAnsi" w:hAnsiTheme="minorHAnsi" w:cstheme="minorHAnsi"/>
          <w:b w:val="0"/>
          <w:color w:val="auto"/>
          <w:sz w:val="24"/>
          <w:szCs w:val="24"/>
          <w:u w:val="none"/>
        </w:rPr>
        <w:t>Document 1 : Les différentes formes de financement</w:t>
      </w:r>
    </w:p>
    <w:p w:rsidR="0087584A" w:rsidRPr="0087584A" w:rsidRDefault="0087584A" w:rsidP="0087584A">
      <w:pPr>
        <w:rPr>
          <w:rFonts w:asciiTheme="minorHAnsi" w:hAnsiTheme="minorHAnsi" w:cstheme="minorHAnsi"/>
        </w:rPr>
      </w:pPr>
    </w:p>
    <w:p w:rsidR="0087584A" w:rsidRPr="0087584A" w:rsidRDefault="0087584A" w:rsidP="0087584A">
      <w:pPr>
        <w:jc w:val="both"/>
        <w:rPr>
          <w:rFonts w:asciiTheme="minorHAnsi" w:hAnsiTheme="minorHAnsi" w:cstheme="minorHAnsi"/>
        </w:rPr>
      </w:pPr>
      <w:r w:rsidRPr="0087584A">
        <w:rPr>
          <w:rFonts w:asciiTheme="minorHAnsi" w:hAnsiTheme="minorHAnsi" w:cstheme="minorHAnsi"/>
        </w:rPr>
        <w:t xml:space="preserve">Les agents économiques comme les ménages, les entreprises ou les administrations sont en permanence confrontés à des dépenses qu'il leur faut financer, c'est-à-dire pour lesquelles ils doivent trouver des ressources équivalentes à leur montant. S'ils possèdent eux-mêmes ces ressources, ils procèdent à un autofinancement. Mais cette modalité de financement n'est pas la plus courante, surtout lorsque les dépenses envisagées sont importantes. Si les ressources disponibles d'un agent ne suffisent pas à financer ses dépenses prévues, on dit qu'il est un agent à besoin de financement. Ne pouvant se suffire à lui-même, il doit compter sur un financement externe. [Dans le cas du] financement externe indirect, l'établissement financier accorde le crédit après avoir préalablement collecté les fonds auprès d'un agent à capacité de financement, c'est-à-dire auprès d'un agent dont les ressources excèdent les emplois. Si l'établissement financier est une banque, il peut aussi octroyer le crédit sans utilisation d'un dépôt initial mais par création monétaire, en portant simplement sous une forme scripturale sur le compte courant de l'emprunteur la somme demandée par celui-ci. </w:t>
      </w:r>
    </w:p>
    <w:p w:rsidR="0087584A" w:rsidRPr="0087584A" w:rsidRDefault="0087584A" w:rsidP="0087584A">
      <w:pPr>
        <w:jc w:val="both"/>
        <w:rPr>
          <w:rFonts w:asciiTheme="minorHAnsi" w:hAnsiTheme="minorHAnsi" w:cstheme="minorHAnsi"/>
        </w:rPr>
      </w:pPr>
      <w:r w:rsidRPr="0087584A">
        <w:rPr>
          <w:rFonts w:asciiTheme="minorHAnsi" w:hAnsiTheme="minorHAnsi" w:cstheme="minorHAnsi"/>
        </w:rPr>
        <w:t>Mais cette forme de financement externe n'est pas la seule. La grande entreprise qui a besoin de financer un investissement choisira plutôt de se tourner vers un financement direct. Pourquoi, en effet, passer par l'intermédiaire de la banque s'il est possible d'obtenir directement [...] les capitaux d'agents à capacité de financement ? C'est là que les marchés financiers jouent un rôle. L'entreprise n'aura pas besoin de se lancer elle-même à la recherche de personnes susceptibles de lui apporter des capitaux, ni à discuter avec chacune pour savoir à quelle condition les capitaux lui sont cédés, puisque les offres de capitaux se concentreront sur le marché et que les capitaux seront échangés contre des titres standardisés. L'entreprise va en effet émettre des titres dont les caractéristiques sont liées au projet à financer. Si le financement est à long terme, ces titres sont des valeurs mobilières. En cas d'augmentation du capital, l'entreprise à la recherche de nouveaux fonds émet des titres de propriété, qui sont des actions si l'entreprise est une société anonyme. En cas de recours à l'emprunt, elle émet des obligations. L'évolution des marchés financiers lui permet aussi de plus en plus de procéder à des émissions de titres hybrides qui ont en partie les caractéristiques des actions et en partie celles des obligations. Par rapport au financement intermédié, le financement via les marchés [...] permet une diminution des coûts liée à la suppression des marges d'intermédiation et à l'accroissement de la concurrence [...].</w:t>
      </w:r>
    </w:p>
    <w:p w:rsidR="0087584A" w:rsidRPr="00B4664F" w:rsidRDefault="0087584A" w:rsidP="0087584A">
      <w:pPr>
        <w:jc w:val="right"/>
        <w:rPr>
          <w:rFonts w:asciiTheme="minorHAnsi" w:hAnsiTheme="minorHAnsi" w:cstheme="minorHAnsi"/>
          <w:i/>
          <w:sz w:val="20"/>
          <w:szCs w:val="20"/>
        </w:rPr>
      </w:pPr>
      <w:r w:rsidRPr="00B4664F">
        <w:rPr>
          <w:rFonts w:asciiTheme="minorHAnsi" w:hAnsiTheme="minorHAnsi" w:cstheme="minorHAnsi"/>
          <w:i/>
          <w:sz w:val="20"/>
          <w:szCs w:val="20"/>
        </w:rPr>
        <w:t>Gilles Jacoud, « À quoi servent les marchés financiers ? », Les Cahiers français, n°361, mars-avril 2011.</w:t>
      </w:r>
    </w:p>
    <w:p w:rsidR="0087584A" w:rsidRPr="0087584A" w:rsidRDefault="0087584A" w:rsidP="0087584A">
      <w:pPr>
        <w:rPr>
          <w:rFonts w:asciiTheme="minorHAnsi" w:hAnsiTheme="minorHAnsi" w:cstheme="minorHAnsi"/>
        </w:rPr>
      </w:pPr>
    </w:p>
    <w:p w:rsidR="0087584A" w:rsidRPr="0087584A" w:rsidRDefault="0087584A" w:rsidP="0016103B">
      <w:pPr>
        <w:pStyle w:val="Paragraphedeliste"/>
        <w:numPr>
          <w:ilvl w:val="0"/>
          <w:numId w:val="1"/>
        </w:numPr>
        <w:jc w:val="both"/>
        <w:rPr>
          <w:rFonts w:asciiTheme="minorHAnsi" w:hAnsiTheme="minorHAnsi" w:cstheme="minorHAnsi"/>
        </w:rPr>
      </w:pPr>
      <w:r w:rsidRPr="0087584A">
        <w:rPr>
          <w:rFonts w:asciiTheme="minorHAnsi" w:hAnsiTheme="minorHAnsi" w:cstheme="minorHAnsi"/>
        </w:rPr>
        <w:t>Identifiez et définissez les trois formes de financement évoquées dans le document.</w:t>
      </w:r>
    </w:p>
    <w:p w:rsidR="0087584A" w:rsidRPr="0087584A" w:rsidRDefault="0087584A" w:rsidP="0016103B">
      <w:pPr>
        <w:pStyle w:val="Paragraphedeliste"/>
        <w:numPr>
          <w:ilvl w:val="0"/>
          <w:numId w:val="1"/>
        </w:numPr>
        <w:jc w:val="both"/>
        <w:rPr>
          <w:rFonts w:asciiTheme="minorHAnsi" w:hAnsiTheme="minorHAnsi" w:cstheme="minorHAnsi"/>
        </w:rPr>
      </w:pPr>
      <w:r w:rsidRPr="0087584A">
        <w:rPr>
          <w:rFonts w:asciiTheme="minorHAnsi" w:hAnsiTheme="minorHAnsi" w:cstheme="minorHAnsi"/>
        </w:rPr>
        <w:t>Pourquoi le financement de marché est-il qualifié de « financement direct » ?</w:t>
      </w:r>
    </w:p>
    <w:p w:rsidR="00B4664F" w:rsidRPr="00B4664F" w:rsidRDefault="0087584A" w:rsidP="0016103B">
      <w:pPr>
        <w:pStyle w:val="Paragraphedeliste"/>
        <w:numPr>
          <w:ilvl w:val="0"/>
          <w:numId w:val="1"/>
        </w:numPr>
        <w:spacing w:after="200" w:line="276" w:lineRule="auto"/>
        <w:jc w:val="both"/>
        <w:rPr>
          <w:rFonts w:asciiTheme="minorHAnsi" w:hAnsiTheme="minorHAnsi" w:cstheme="minorHAnsi"/>
        </w:rPr>
      </w:pPr>
      <w:r w:rsidRPr="00B4664F">
        <w:rPr>
          <w:rFonts w:asciiTheme="minorHAnsi" w:hAnsiTheme="minorHAnsi" w:cstheme="minorHAnsi"/>
        </w:rPr>
        <w:t>Pourquoi le financement de marché présente-t-il un avantage par rapport au financement intermédié ? Précisez dans votre réponse quel est le coût de chacun des modes de financement.</w:t>
      </w:r>
      <w:r w:rsidR="00B4664F" w:rsidRPr="00B4664F">
        <w:rPr>
          <w:rFonts w:asciiTheme="minorHAnsi" w:hAnsiTheme="minorHAnsi" w:cstheme="minorHAnsi"/>
        </w:rPr>
        <w:br w:type="page"/>
      </w:r>
    </w:p>
    <w:p w:rsidR="0087584A" w:rsidRPr="0087584A" w:rsidRDefault="0087584A" w:rsidP="0087584A">
      <w:pPr>
        <w:rPr>
          <w:rFonts w:asciiTheme="minorHAnsi" w:hAnsiTheme="minorHAnsi" w:cstheme="minorHAnsi"/>
        </w:rPr>
      </w:pPr>
      <w:r w:rsidRPr="0087584A">
        <w:rPr>
          <w:rFonts w:asciiTheme="minorHAnsi" w:hAnsiTheme="minorHAnsi" w:cstheme="minorHAnsi"/>
        </w:rPr>
        <w:lastRenderedPageBreak/>
        <w:t>Document 2 : L'évolution du financement des entreprises</w:t>
      </w:r>
    </w:p>
    <w:p w:rsidR="0087584A" w:rsidRPr="0087584A" w:rsidRDefault="0087584A" w:rsidP="0087584A">
      <w:pPr>
        <w:rPr>
          <w:rFonts w:asciiTheme="minorHAnsi" w:hAnsiTheme="minorHAnsi" w:cstheme="minorHAnsi"/>
        </w:rPr>
      </w:pPr>
    </w:p>
    <w:tbl>
      <w:tblPr>
        <w:tblStyle w:val="Grilledutableau"/>
        <w:tblW w:w="0" w:type="auto"/>
        <w:jc w:val="center"/>
        <w:tblLook w:val="04A0"/>
      </w:tblPr>
      <w:tblGrid>
        <w:gridCol w:w="2943"/>
        <w:gridCol w:w="1057"/>
        <w:gridCol w:w="1058"/>
        <w:gridCol w:w="1057"/>
        <w:gridCol w:w="1058"/>
        <w:gridCol w:w="1057"/>
        <w:gridCol w:w="1058"/>
      </w:tblGrid>
      <w:tr w:rsidR="0087584A" w:rsidRPr="0087584A" w:rsidTr="00A430D6">
        <w:trPr>
          <w:jc w:val="center"/>
        </w:trPr>
        <w:tc>
          <w:tcPr>
            <w:tcW w:w="2943" w:type="dxa"/>
          </w:tcPr>
          <w:p w:rsidR="0087584A" w:rsidRPr="0087584A" w:rsidRDefault="0087584A" w:rsidP="00A430D6">
            <w:pPr>
              <w:jc w:val="center"/>
              <w:rPr>
                <w:rFonts w:asciiTheme="minorHAnsi" w:hAnsiTheme="minorHAnsi" w:cstheme="minorHAnsi"/>
                <w:sz w:val="24"/>
                <w:szCs w:val="24"/>
              </w:rPr>
            </w:pPr>
            <w:r w:rsidRPr="0087584A">
              <w:rPr>
                <w:rFonts w:asciiTheme="minorHAnsi" w:hAnsiTheme="minorHAnsi" w:cstheme="minorHAnsi"/>
                <w:sz w:val="24"/>
                <w:szCs w:val="24"/>
              </w:rPr>
              <w:t>Structure du financement des entreprises françaises (flux, en milliards €)</w:t>
            </w:r>
          </w:p>
        </w:tc>
        <w:tc>
          <w:tcPr>
            <w:tcW w:w="1057" w:type="dxa"/>
            <w:shd w:val="clear" w:color="auto" w:fill="D9D9D9" w:themeFill="background1" w:themeFillShade="D9"/>
            <w:vAlign w:val="center"/>
          </w:tcPr>
          <w:p w:rsidR="0087584A" w:rsidRPr="0087584A" w:rsidRDefault="0087584A" w:rsidP="00EC51E5">
            <w:pPr>
              <w:jc w:val="center"/>
              <w:rPr>
                <w:rFonts w:asciiTheme="minorHAnsi" w:hAnsiTheme="minorHAnsi" w:cstheme="minorHAnsi"/>
                <w:sz w:val="24"/>
                <w:szCs w:val="24"/>
              </w:rPr>
            </w:pPr>
            <w:r w:rsidRPr="0087584A">
              <w:rPr>
                <w:rFonts w:asciiTheme="minorHAnsi" w:hAnsiTheme="minorHAnsi" w:cstheme="minorHAnsi"/>
                <w:sz w:val="24"/>
                <w:szCs w:val="24"/>
              </w:rPr>
              <w:t>1980</w:t>
            </w:r>
          </w:p>
        </w:tc>
        <w:tc>
          <w:tcPr>
            <w:tcW w:w="1058" w:type="dxa"/>
            <w:shd w:val="clear" w:color="auto" w:fill="D9D9D9" w:themeFill="background1" w:themeFillShade="D9"/>
            <w:vAlign w:val="center"/>
          </w:tcPr>
          <w:p w:rsidR="0087584A" w:rsidRPr="0087584A" w:rsidRDefault="0087584A" w:rsidP="00EC51E5">
            <w:pPr>
              <w:jc w:val="center"/>
              <w:rPr>
                <w:rFonts w:asciiTheme="minorHAnsi" w:hAnsiTheme="minorHAnsi" w:cstheme="minorHAnsi"/>
                <w:sz w:val="24"/>
                <w:szCs w:val="24"/>
              </w:rPr>
            </w:pPr>
            <w:r w:rsidRPr="0087584A">
              <w:rPr>
                <w:rFonts w:asciiTheme="minorHAnsi" w:hAnsiTheme="minorHAnsi" w:cstheme="minorHAnsi"/>
                <w:sz w:val="24"/>
                <w:szCs w:val="24"/>
              </w:rPr>
              <w:t>1990</w:t>
            </w:r>
          </w:p>
        </w:tc>
        <w:tc>
          <w:tcPr>
            <w:tcW w:w="1057" w:type="dxa"/>
            <w:vAlign w:val="center"/>
          </w:tcPr>
          <w:p w:rsidR="0087584A" w:rsidRPr="0087584A" w:rsidRDefault="0087584A" w:rsidP="00B4664F">
            <w:pPr>
              <w:jc w:val="center"/>
              <w:rPr>
                <w:rFonts w:asciiTheme="minorHAnsi" w:hAnsiTheme="minorHAnsi" w:cstheme="minorHAnsi"/>
                <w:sz w:val="24"/>
                <w:szCs w:val="24"/>
              </w:rPr>
            </w:pPr>
            <w:r w:rsidRPr="0087584A">
              <w:rPr>
                <w:rFonts w:asciiTheme="minorHAnsi" w:hAnsiTheme="minorHAnsi" w:cstheme="minorHAnsi"/>
                <w:sz w:val="24"/>
                <w:szCs w:val="24"/>
              </w:rPr>
              <w:t>200</w:t>
            </w:r>
            <w:r w:rsidR="00B4664F">
              <w:rPr>
                <w:rFonts w:asciiTheme="minorHAnsi" w:hAnsiTheme="minorHAnsi" w:cstheme="minorHAnsi"/>
                <w:sz w:val="24"/>
                <w:szCs w:val="24"/>
              </w:rPr>
              <w:t>0</w:t>
            </w:r>
          </w:p>
        </w:tc>
        <w:tc>
          <w:tcPr>
            <w:tcW w:w="1058" w:type="dxa"/>
            <w:vAlign w:val="center"/>
          </w:tcPr>
          <w:p w:rsidR="0087584A" w:rsidRPr="0087584A" w:rsidRDefault="0087584A" w:rsidP="00DA7D0F">
            <w:pPr>
              <w:jc w:val="center"/>
              <w:rPr>
                <w:rFonts w:asciiTheme="minorHAnsi" w:hAnsiTheme="minorHAnsi" w:cstheme="minorHAnsi"/>
                <w:sz w:val="24"/>
                <w:szCs w:val="24"/>
              </w:rPr>
            </w:pPr>
            <w:r w:rsidRPr="0087584A">
              <w:rPr>
                <w:rFonts w:asciiTheme="minorHAnsi" w:hAnsiTheme="minorHAnsi" w:cstheme="minorHAnsi"/>
                <w:sz w:val="24"/>
                <w:szCs w:val="24"/>
              </w:rPr>
              <w:t>20</w:t>
            </w:r>
            <w:r w:rsidR="00DA7D0F">
              <w:rPr>
                <w:rFonts w:asciiTheme="minorHAnsi" w:hAnsiTheme="minorHAnsi" w:cstheme="minorHAnsi"/>
                <w:sz w:val="24"/>
                <w:szCs w:val="24"/>
              </w:rPr>
              <w:t>08</w:t>
            </w:r>
          </w:p>
        </w:tc>
        <w:tc>
          <w:tcPr>
            <w:tcW w:w="1057" w:type="dxa"/>
            <w:vAlign w:val="center"/>
          </w:tcPr>
          <w:p w:rsidR="0087584A" w:rsidRPr="0087584A" w:rsidRDefault="0087584A" w:rsidP="00DA7D0F">
            <w:pPr>
              <w:jc w:val="center"/>
              <w:rPr>
                <w:rFonts w:asciiTheme="minorHAnsi" w:hAnsiTheme="minorHAnsi" w:cstheme="minorHAnsi"/>
                <w:sz w:val="24"/>
                <w:szCs w:val="24"/>
              </w:rPr>
            </w:pPr>
            <w:r w:rsidRPr="0087584A">
              <w:rPr>
                <w:rFonts w:asciiTheme="minorHAnsi" w:hAnsiTheme="minorHAnsi" w:cstheme="minorHAnsi"/>
                <w:sz w:val="24"/>
                <w:szCs w:val="24"/>
              </w:rPr>
              <w:t>201</w:t>
            </w:r>
            <w:r w:rsidR="00DA7D0F">
              <w:rPr>
                <w:rFonts w:asciiTheme="minorHAnsi" w:hAnsiTheme="minorHAnsi" w:cstheme="minorHAnsi"/>
                <w:sz w:val="24"/>
                <w:szCs w:val="24"/>
              </w:rPr>
              <w:t>0</w:t>
            </w:r>
          </w:p>
        </w:tc>
        <w:tc>
          <w:tcPr>
            <w:tcW w:w="1058" w:type="dxa"/>
            <w:vAlign w:val="center"/>
          </w:tcPr>
          <w:p w:rsidR="0087584A" w:rsidRPr="0087584A" w:rsidRDefault="00DA7D0F" w:rsidP="00EC51E5">
            <w:pPr>
              <w:jc w:val="center"/>
              <w:rPr>
                <w:rFonts w:asciiTheme="minorHAnsi" w:hAnsiTheme="minorHAnsi" w:cstheme="minorHAnsi"/>
                <w:sz w:val="24"/>
                <w:szCs w:val="24"/>
              </w:rPr>
            </w:pPr>
            <w:r>
              <w:rPr>
                <w:rFonts w:asciiTheme="minorHAnsi" w:hAnsiTheme="minorHAnsi" w:cstheme="minorHAnsi"/>
                <w:sz w:val="24"/>
                <w:szCs w:val="24"/>
              </w:rPr>
              <w:t>2018</w:t>
            </w:r>
          </w:p>
        </w:tc>
      </w:tr>
      <w:tr w:rsidR="0087584A" w:rsidRPr="0087584A" w:rsidTr="00A430D6">
        <w:trPr>
          <w:jc w:val="center"/>
        </w:trPr>
        <w:tc>
          <w:tcPr>
            <w:tcW w:w="2943" w:type="dxa"/>
          </w:tcPr>
          <w:p w:rsidR="0087584A" w:rsidRPr="0087584A" w:rsidRDefault="0087584A" w:rsidP="00EC51E5">
            <w:pPr>
              <w:rPr>
                <w:rFonts w:asciiTheme="minorHAnsi" w:hAnsiTheme="minorHAnsi" w:cstheme="minorHAnsi"/>
                <w:sz w:val="24"/>
                <w:szCs w:val="24"/>
              </w:rPr>
            </w:pPr>
            <w:r w:rsidRPr="0087584A">
              <w:rPr>
                <w:rFonts w:asciiTheme="minorHAnsi" w:hAnsiTheme="minorHAnsi" w:cstheme="minorHAnsi"/>
                <w:sz w:val="24"/>
                <w:szCs w:val="24"/>
              </w:rPr>
              <w:t>Autofinancement</w:t>
            </w:r>
            <w:r w:rsidRPr="0087584A">
              <w:rPr>
                <w:rFonts w:asciiTheme="minorHAnsi" w:hAnsiTheme="minorHAnsi" w:cstheme="minorHAnsi"/>
                <w:sz w:val="24"/>
                <w:szCs w:val="24"/>
                <w:vertAlign w:val="superscript"/>
              </w:rPr>
              <w:t>1</w:t>
            </w:r>
          </w:p>
        </w:tc>
        <w:tc>
          <w:tcPr>
            <w:tcW w:w="1057" w:type="dxa"/>
            <w:shd w:val="clear" w:color="auto" w:fill="D9D9D9" w:themeFill="background1" w:themeFillShade="D9"/>
            <w:vAlign w:val="center"/>
          </w:tcPr>
          <w:p w:rsidR="0087584A" w:rsidRPr="0087584A" w:rsidRDefault="00982A68" w:rsidP="00A430D6">
            <w:pPr>
              <w:jc w:val="center"/>
              <w:rPr>
                <w:rFonts w:asciiTheme="minorHAnsi" w:hAnsiTheme="minorHAnsi" w:cstheme="minorHAnsi"/>
                <w:sz w:val="24"/>
                <w:szCs w:val="24"/>
              </w:rPr>
            </w:pPr>
            <w:r>
              <w:rPr>
                <w:rFonts w:asciiTheme="minorHAnsi" w:hAnsiTheme="minorHAnsi" w:cstheme="minorHAnsi"/>
                <w:sz w:val="24"/>
                <w:szCs w:val="24"/>
              </w:rPr>
              <w:t>28,2</w:t>
            </w:r>
          </w:p>
        </w:tc>
        <w:tc>
          <w:tcPr>
            <w:tcW w:w="1058" w:type="dxa"/>
            <w:shd w:val="clear" w:color="auto" w:fill="D9D9D9" w:themeFill="background1" w:themeFillShade="D9"/>
            <w:vAlign w:val="center"/>
          </w:tcPr>
          <w:p w:rsidR="0087584A" w:rsidRPr="0087584A" w:rsidRDefault="00982A68" w:rsidP="00A430D6">
            <w:pPr>
              <w:jc w:val="center"/>
              <w:rPr>
                <w:rFonts w:asciiTheme="minorHAnsi" w:hAnsiTheme="minorHAnsi" w:cstheme="minorHAnsi"/>
                <w:sz w:val="24"/>
                <w:szCs w:val="24"/>
              </w:rPr>
            </w:pPr>
            <w:r>
              <w:rPr>
                <w:rFonts w:asciiTheme="minorHAnsi" w:hAnsiTheme="minorHAnsi" w:cstheme="minorHAnsi"/>
                <w:sz w:val="24"/>
                <w:szCs w:val="24"/>
              </w:rPr>
              <w:t>97,6</w:t>
            </w:r>
          </w:p>
        </w:tc>
        <w:tc>
          <w:tcPr>
            <w:tcW w:w="1057" w:type="dxa"/>
            <w:vAlign w:val="center"/>
          </w:tcPr>
          <w:p w:rsidR="0087584A" w:rsidRPr="0087584A" w:rsidRDefault="00A8303B" w:rsidP="00A430D6">
            <w:pPr>
              <w:jc w:val="center"/>
              <w:rPr>
                <w:rFonts w:asciiTheme="minorHAnsi" w:hAnsiTheme="minorHAnsi" w:cstheme="minorHAnsi"/>
                <w:sz w:val="24"/>
                <w:szCs w:val="24"/>
              </w:rPr>
            </w:pPr>
            <w:r>
              <w:rPr>
                <w:rFonts w:asciiTheme="minorHAnsi" w:hAnsiTheme="minorHAnsi" w:cstheme="minorHAnsi"/>
                <w:sz w:val="24"/>
                <w:szCs w:val="24"/>
              </w:rPr>
              <w:t>170,7</w:t>
            </w:r>
          </w:p>
        </w:tc>
        <w:tc>
          <w:tcPr>
            <w:tcW w:w="1058" w:type="dxa"/>
            <w:vAlign w:val="center"/>
          </w:tcPr>
          <w:p w:rsidR="0087584A" w:rsidRPr="0087584A" w:rsidRDefault="00DA7D0F" w:rsidP="00A430D6">
            <w:pPr>
              <w:jc w:val="center"/>
              <w:rPr>
                <w:rFonts w:asciiTheme="minorHAnsi" w:hAnsiTheme="minorHAnsi" w:cstheme="minorHAnsi"/>
                <w:sz w:val="24"/>
                <w:szCs w:val="24"/>
              </w:rPr>
            </w:pPr>
            <w:r>
              <w:rPr>
                <w:rFonts w:asciiTheme="minorHAnsi" w:hAnsiTheme="minorHAnsi" w:cstheme="minorHAnsi"/>
                <w:sz w:val="24"/>
                <w:szCs w:val="24"/>
              </w:rPr>
              <w:t>208,1</w:t>
            </w:r>
          </w:p>
        </w:tc>
        <w:tc>
          <w:tcPr>
            <w:tcW w:w="1057" w:type="dxa"/>
            <w:vAlign w:val="center"/>
          </w:tcPr>
          <w:p w:rsidR="0087584A" w:rsidRPr="0087584A" w:rsidRDefault="00DA7D0F" w:rsidP="00A430D6">
            <w:pPr>
              <w:jc w:val="center"/>
              <w:rPr>
                <w:rFonts w:asciiTheme="minorHAnsi" w:hAnsiTheme="minorHAnsi" w:cstheme="minorHAnsi"/>
                <w:sz w:val="24"/>
                <w:szCs w:val="24"/>
              </w:rPr>
            </w:pPr>
            <w:r>
              <w:rPr>
                <w:rFonts w:asciiTheme="minorHAnsi" w:hAnsiTheme="minorHAnsi" w:cstheme="minorHAnsi"/>
                <w:sz w:val="24"/>
                <w:szCs w:val="24"/>
              </w:rPr>
              <w:t>226,2</w:t>
            </w:r>
          </w:p>
        </w:tc>
        <w:tc>
          <w:tcPr>
            <w:tcW w:w="1058" w:type="dxa"/>
            <w:vAlign w:val="center"/>
          </w:tcPr>
          <w:p w:rsidR="0087584A" w:rsidRPr="0087584A" w:rsidRDefault="00DA7D0F" w:rsidP="00A430D6">
            <w:pPr>
              <w:jc w:val="center"/>
              <w:rPr>
                <w:rFonts w:asciiTheme="minorHAnsi" w:hAnsiTheme="minorHAnsi" w:cstheme="minorHAnsi"/>
                <w:sz w:val="24"/>
                <w:szCs w:val="24"/>
              </w:rPr>
            </w:pPr>
            <w:r>
              <w:rPr>
                <w:rFonts w:asciiTheme="minorHAnsi" w:hAnsiTheme="minorHAnsi" w:cstheme="minorHAnsi"/>
                <w:sz w:val="24"/>
                <w:szCs w:val="24"/>
              </w:rPr>
              <w:t>288,5</w:t>
            </w:r>
          </w:p>
        </w:tc>
      </w:tr>
      <w:tr w:rsidR="0087584A" w:rsidRPr="0087584A" w:rsidTr="00A430D6">
        <w:trPr>
          <w:jc w:val="center"/>
        </w:trPr>
        <w:tc>
          <w:tcPr>
            <w:tcW w:w="2943" w:type="dxa"/>
          </w:tcPr>
          <w:p w:rsidR="0087584A" w:rsidRPr="0087584A" w:rsidRDefault="0087584A" w:rsidP="00EC51E5">
            <w:pPr>
              <w:rPr>
                <w:rFonts w:asciiTheme="minorHAnsi" w:hAnsiTheme="minorHAnsi" w:cstheme="minorHAnsi"/>
                <w:sz w:val="24"/>
                <w:szCs w:val="24"/>
              </w:rPr>
            </w:pPr>
            <w:r w:rsidRPr="0087584A">
              <w:rPr>
                <w:rFonts w:asciiTheme="minorHAnsi" w:hAnsiTheme="minorHAnsi" w:cstheme="minorHAnsi"/>
                <w:sz w:val="24"/>
                <w:szCs w:val="24"/>
              </w:rPr>
              <w:t>Emission d’actions</w:t>
            </w:r>
          </w:p>
        </w:tc>
        <w:tc>
          <w:tcPr>
            <w:tcW w:w="1057" w:type="dxa"/>
            <w:shd w:val="clear" w:color="auto" w:fill="D9D9D9" w:themeFill="background1" w:themeFillShade="D9"/>
            <w:vAlign w:val="center"/>
          </w:tcPr>
          <w:p w:rsidR="0087584A" w:rsidRPr="0087584A" w:rsidRDefault="0087584A" w:rsidP="00A430D6">
            <w:pPr>
              <w:jc w:val="center"/>
              <w:rPr>
                <w:rFonts w:asciiTheme="minorHAnsi" w:hAnsiTheme="minorHAnsi" w:cstheme="minorHAnsi"/>
                <w:sz w:val="24"/>
                <w:szCs w:val="24"/>
              </w:rPr>
            </w:pPr>
            <w:r w:rsidRPr="0087584A">
              <w:rPr>
                <w:rFonts w:asciiTheme="minorHAnsi" w:hAnsiTheme="minorHAnsi" w:cstheme="minorHAnsi"/>
                <w:sz w:val="24"/>
                <w:szCs w:val="24"/>
              </w:rPr>
              <w:t>7,9</w:t>
            </w:r>
          </w:p>
        </w:tc>
        <w:tc>
          <w:tcPr>
            <w:tcW w:w="1058" w:type="dxa"/>
            <w:shd w:val="clear" w:color="auto" w:fill="D9D9D9" w:themeFill="background1" w:themeFillShade="D9"/>
            <w:vAlign w:val="center"/>
          </w:tcPr>
          <w:p w:rsidR="0087584A" w:rsidRPr="0087584A" w:rsidRDefault="0087584A" w:rsidP="00A430D6">
            <w:pPr>
              <w:jc w:val="center"/>
              <w:rPr>
                <w:rFonts w:asciiTheme="minorHAnsi" w:hAnsiTheme="minorHAnsi" w:cstheme="minorHAnsi"/>
                <w:sz w:val="24"/>
                <w:szCs w:val="24"/>
              </w:rPr>
            </w:pPr>
            <w:r w:rsidRPr="0087584A">
              <w:rPr>
                <w:rFonts w:asciiTheme="minorHAnsi" w:hAnsiTheme="minorHAnsi" w:cstheme="minorHAnsi"/>
                <w:sz w:val="24"/>
                <w:szCs w:val="24"/>
              </w:rPr>
              <w:t>33,7</w:t>
            </w:r>
          </w:p>
        </w:tc>
        <w:tc>
          <w:tcPr>
            <w:tcW w:w="1057" w:type="dxa"/>
            <w:vAlign w:val="center"/>
          </w:tcPr>
          <w:p w:rsidR="0087584A" w:rsidRPr="0087584A" w:rsidRDefault="00614129" w:rsidP="00A430D6">
            <w:pPr>
              <w:jc w:val="center"/>
              <w:rPr>
                <w:rFonts w:asciiTheme="minorHAnsi" w:hAnsiTheme="minorHAnsi" w:cstheme="minorHAnsi"/>
                <w:sz w:val="24"/>
                <w:szCs w:val="24"/>
              </w:rPr>
            </w:pPr>
            <w:r>
              <w:rPr>
                <w:rFonts w:asciiTheme="minorHAnsi" w:hAnsiTheme="minorHAnsi" w:cstheme="minorHAnsi"/>
                <w:sz w:val="24"/>
                <w:szCs w:val="24"/>
              </w:rPr>
              <w:t>128,2</w:t>
            </w:r>
          </w:p>
        </w:tc>
        <w:tc>
          <w:tcPr>
            <w:tcW w:w="1058" w:type="dxa"/>
            <w:vAlign w:val="center"/>
          </w:tcPr>
          <w:p w:rsidR="0087584A" w:rsidRPr="0087584A" w:rsidRDefault="00614129" w:rsidP="00A430D6">
            <w:pPr>
              <w:jc w:val="center"/>
              <w:rPr>
                <w:rFonts w:asciiTheme="minorHAnsi" w:hAnsiTheme="minorHAnsi" w:cstheme="minorHAnsi"/>
                <w:sz w:val="24"/>
                <w:szCs w:val="24"/>
              </w:rPr>
            </w:pPr>
            <w:r>
              <w:rPr>
                <w:rFonts w:asciiTheme="minorHAnsi" w:hAnsiTheme="minorHAnsi" w:cstheme="minorHAnsi"/>
                <w:sz w:val="24"/>
                <w:szCs w:val="24"/>
              </w:rPr>
              <w:t>64,5</w:t>
            </w:r>
          </w:p>
        </w:tc>
        <w:tc>
          <w:tcPr>
            <w:tcW w:w="1057" w:type="dxa"/>
            <w:vAlign w:val="center"/>
          </w:tcPr>
          <w:p w:rsidR="0087584A" w:rsidRPr="0087584A" w:rsidRDefault="00614129" w:rsidP="00A430D6">
            <w:pPr>
              <w:jc w:val="center"/>
              <w:rPr>
                <w:rFonts w:asciiTheme="minorHAnsi" w:hAnsiTheme="minorHAnsi" w:cstheme="minorHAnsi"/>
                <w:sz w:val="24"/>
                <w:szCs w:val="24"/>
              </w:rPr>
            </w:pPr>
            <w:r>
              <w:rPr>
                <w:rFonts w:asciiTheme="minorHAnsi" w:hAnsiTheme="minorHAnsi" w:cstheme="minorHAnsi"/>
                <w:sz w:val="24"/>
                <w:szCs w:val="24"/>
              </w:rPr>
              <w:t>106,8</w:t>
            </w:r>
          </w:p>
        </w:tc>
        <w:tc>
          <w:tcPr>
            <w:tcW w:w="1058" w:type="dxa"/>
            <w:vAlign w:val="center"/>
          </w:tcPr>
          <w:p w:rsidR="0087584A" w:rsidRPr="0087584A" w:rsidRDefault="00614129" w:rsidP="00A430D6">
            <w:pPr>
              <w:jc w:val="center"/>
              <w:rPr>
                <w:rFonts w:asciiTheme="minorHAnsi" w:hAnsiTheme="minorHAnsi" w:cstheme="minorHAnsi"/>
                <w:sz w:val="24"/>
                <w:szCs w:val="24"/>
              </w:rPr>
            </w:pPr>
            <w:r>
              <w:rPr>
                <w:rFonts w:asciiTheme="minorHAnsi" w:hAnsiTheme="minorHAnsi" w:cstheme="minorHAnsi"/>
                <w:sz w:val="24"/>
                <w:szCs w:val="24"/>
              </w:rPr>
              <w:t>113,4</w:t>
            </w:r>
          </w:p>
        </w:tc>
      </w:tr>
      <w:tr w:rsidR="0087584A" w:rsidRPr="0087584A" w:rsidTr="00A430D6">
        <w:trPr>
          <w:jc w:val="center"/>
        </w:trPr>
        <w:tc>
          <w:tcPr>
            <w:tcW w:w="2943" w:type="dxa"/>
          </w:tcPr>
          <w:p w:rsidR="0087584A" w:rsidRPr="0087584A" w:rsidRDefault="0087584A" w:rsidP="00EC51E5">
            <w:pPr>
              <w:rPr>
                <w:rFonts w:asciiTheme="minorHAnsi" w:hAnsiTheme="minorHAnsi" w:cstheme="minorHAnsi"/>
                <w:sz w:val="24"/>
                <w:szCs w:val="24"/>
              </w:rPr>
            </w:pPr>
            <w:r w:rsidRPr="0087584A">
              <w:rPr>
                <w:rFonts w:asciiTheme="minorHAnsi" w:hAnsiTheme="minorHAnsi" w:cstheme="minorHAnsi"/>
                <w:sz w:val="24"/>
                <w:szCs w:val="24"/>
              </w:rPr>
              <w:t>Endettement sur les marchés</w:t>
            </w:r>
            <w:r w:rsidRPr="0087584A">
              <w:rPr>
                <w:rFonts w:asciiTheme="minorHAnsi" w:hAnsiTheme="minorHAnsi" w:cstheme="minorHAnsi"/>
                <w:sz w:val="24"/>
                <w:szCs w:val="24"/>
                <w:vertAlign w:val="superscript"/>
              </w:rPr>
              <w:t>2</w:t>
            </w:r>
          </w:p>
        </w:tc>
        <w:tc>
          <w:tcPr>
            <w:tcW w:w="1057" w:type="dxa"/>
            <w:shd w:val="clear" w:color="auto" w:fill="D9D9D9" w:themeFill="background1" w:themeFillShade="D9"/>
            <w:vAlign w:val="center"/>
          </w:tcPr>
          <w:p w:rsidR="0087584A" w:rsidRPr="0087584A" w:rsidRDefault="0087584A" w:rsidP="00A430D6">
            <w:pPr>
              <w:jc w:val="center"/>
              <w:rPr>
                <w:rFonts w:asciiTheme="minorHAnsi" w:hAnsiTheme="minorHAnsi" w:cstheme="minorHAnsi"/>
                <w:sz w:val="24"/>
                <w:szCs w:val="24"/>
              </w:rPr>
            </w:pPr>
            <w:r w:rsidRPr="0087584A">
              <w:rPr>
                <w:rFonts w:asciiTheme="minorHAnsi" w:hAnsiTheme="minorHAnsi" w:cstheme="minorHAnsi"/>
                <w:sz w:val="24"/>
                <w:szCs w:val="24"/>
              </w:rPr>
              <w:t>2,6</w:t>
            </w:r>
          </w:p>
        </w:tc>
        <w:tc>
          <w:tcPr>
            <w:tcW w:w="1058" w:type="dxa"/>
            <w:shd w:val="clear" w:color="auto" w:fill="D9D9D9" w:themeFill="background1" w:themeFillShade="D9"/>
            <w:vAlign w:val="center"/>
          </w:tcPr>
          <w:p w:rsidR="0087584A" w:rsidRPr="0087584A" w:rsidRDefault="0087584A" w:rsidP="00A430D6">
            <w:pPr>
              <w:jc w:val="center"/>
              <w:rPr>
                <w:rFonts w:asciiTheme="minorHAnsi" w:hAnsiTheme="minorHAnsi" w:cstheme="minorHAnsi"/>
                <w:sz w:val="24"/>
                <w:szCs w:val="24"/>
              </w:rPr>
            </w:pPr>
            <w:r w:rsidRPr="0087584A">
              <w:rPr>
                <w:rFonts w:asciiTheme="minorHAnsi" w:hAnsiTheme="minorHAnsi" w:cstheme="minorHAnsi"/>
                <w:sz w:val="24"/>
                <w:szCs w:val="24"/>
              </w:rPr>
              <w:t>15,1</w:t>
            </w:r>
          </w:p>
        </w:tc>
        <w:tc>
          <w:tcPr>
            <w:tcW w:w="1057" w:type="dxa"/>
            <w:vAlign w:val="center"/>
          </w:tcPr>
          <w:p w:rsidR="0087584A" w:rsidRPr="0087584A" w:rsidRDefault="00614129" w:rsidP="00A430D6">
            <w:pPr>
              <w:jc w:val="center"/>
              <w:rPr>
                <w:rFonts w:asciiTheme="minorHAnsi" w:hAnsiTheme="minorHAnsi" w:cstheme="minorHAnsi"/>
                <w:sz w:val="24"/>
                <w:szCs w:val="24"/>
              </w:rPr>
            </w:pPr>
            <w:r>
              <w:rPr>
                <w:rFonts w:asciiTheme="minorHAnsi" w:hAnsiTheme="minorHAnsi" w:cstheme="minorHAnsi"/>
                <w:sz w:val="24"/>
                <w:szCs w:val="24"/>
              </w:rPr>
              <w:t>39,8</w:t>
            </w:r>
          </w:p>
        </w:tc>
        <w:tc>
          <w:tcPr>
            <w:tcW w:w="1058" w:type="dxa"/>
            <w:vAlign w:val="center"/>
          </w:tcPr>
          <w:p w:rsidR="0087584A" w:rsidRPr="0087584A" w:rsidRDefault="00614129" w:rsidP="00A430D6">
            <w:pPr>
              <w:jc w:val="center"/>
              <w:rPr>
                <w:rFonts w:asciiTheme="minorHAnsi" w:hAnsiTheme="minorHAnsi" w:cstheme="minorHAnsi"/>
                <w:sz w:val="24"/>
                <w:szCs w:val="24"/>
              </w:rPr>
            </w:pPr>
            <w:r>
              <w:rPr>
                <w:rFonts w:asciiTheme="minorHAnsi" w:hAnsiTheme="minorHAnsi" w:cstheme="minorHAnsi"/>
                <w:sz w:val="24"/>
                <w:szCs w:val="24"/>
              </w:rPr>
              <w:t>26,0</w:t>
            </w:r>
          </w:p>
        </w:tc>
        <w:tc>
          <w:tcPr>
            <w:tcW w:w="1057" w:type="dxa"/>
            <w:vAlign w:val="center"/>
          </w:tcPr>
          <w:p w:rsidR="0087584A" w:rsidRPr="0087584A" w:rsidRDefault="00614129" w:rsidP="00A430D6">
            <w:pPr>
              <w:jc w:val="center"/>
              <w:rPr>
                <w:rFonts w:asciiTheme="minorHAnsi" w:hAnsiTheme="minorHAnsi" w:cstheme="minorHAnsi"/>
                <w:sz w:val="24"/>
                <w:szCs w:val="24"/>
              </w:rPr>
            </w:pPr>
            <w:r>
              <w:rPr>
                <w:rFonts w:asciiTheme="minorHAnsi" w:hAnsiTheme="minorHAnsi" w:cstheme="minorHAnsi"/>
                <w:sz w:val="24"/>
                <w:szCs w:val="24"/>
              </w:rPr>
              <w:t>22,9</w:t>
            </w:r>
          </w:p>
        </w:tc>
        <w:tc>
          <w:tcPr>
            <w:tcW w:w="1058" w:type="dxa"/>
            <w:vAlign w:val="center"/>
          </w:tcPr>
          <w:p w:rsidR="0087584A" w:rsidRPr="0087584A" w:rsidRDefault="00614129" w:rsidP="00A430D6">
            <w:pPr>
              <w:jc w:val="center"/>
              <w:rPr>
                <w:rFonts w:asciiTheme="minorHAnsi" w:hAnsiTheme="minorHAnsi" w:cstheme="minorHAnsi"/>
                <w:sz w:val="24"/>
                <w:szCs w:val="24"/>
              </w:rPr>
            </w:pPr>
            <w:r>
              <w:rPr>
                <w:rFonts w:asciiTheme="minorHAnsi" w:hAnsiTheme="minorHAnsi" w:cstheme="minorHAnsi"/>
                <w:sz w:val="24"/>
                <w:szCs w:val="24"/>
              </w:rPr>
              <w:t>29,2</w:t>
            </w:r>
          </w:p>
        </w:tc>
      </w:tr>
      <w:tr w:rsidR="0087584A" w:rsidRPr="0087584A" w:rsidTr="00A430D6">
        <w:trPr>
          <w:jc w:val="center"/>
        </w:trPr>
        <w:tc>
          <w:tcPr>
            <w:tcW w:w="2943" w:type="dxa"/>
          </w:tcPr>
          <w:p w:rsidR="0087584A" w:rsidRPr="0087584A" w:rsidRDefault="0087584A" w:rsidP="00EC51E5">
            <w:pPr>
              <w:rPr>
                <w:rFonts w:asciiTheme="minorHAnsi" w:hAnsiTheme="minorHAnsi" w:cstheme="minorHAnsi"/>
                <w:sz w:val="24"/>
                <w:szCs w:val="24"/>
              </w:rPr>
            </w:pPr>
            <w:r w:rsidRPr="0087584A">
              <w:rPr>
                <w:rFonts w:asciiTheme="minorHAnsi" w:hAnsiTheme="minorHAnsi" w:cstheme="minorHAnsi"/>
                <w:sz w:val="24"/>
                <w:szCs w:val="24"/>
              </w:rPr>
              <w:t>Endettement auprès des banques</w:t>
            </w:r>
          </w:p>
        </w:tc>
        <w:tc>
          <w:tcPr>
            <w:tcW w:w="1057" w:type="dxa"/>
            <w:shd w:val="clear" w:color="auto" w:fill="D9D9D9" w:themeFill="background1" w:themeFillShade="D9"/>
            <w:vAlign w:val="center"/>
          </w:tcPr>
          <w:p w:rsidR="0087584A" w:rsidRPr="0087584A" w:rsidRDefault="0087584A" w:rsidP="00A430D6">
            <w:pPr>
              <w:jc w:val="center"/>
              <w:rPr>
                <w:rFonts w:asciiTheme="minorHAnsi" w:hAnsiTheme="minorHAnsi" w:cstheme="minorHAnsi"/>
                <w:sz w:val="24"/>
                <w:szCs w:val="24"/>
              </w:rPr>
            </w:pPr>
            <w:r w:rsidRPr="0087584A">
              <w:rPr>
                <w:rFonts w:asciiTheme="minorHAnsi" w:hAnsiTheme="minorHAnsi" w:cstheme="minorHAnsi"/>
                <w:sz w:val="24"/>
                <w:szCs w:val="24"/>
              </w:rPr>
              <w:t>18,1</w:t>
            </w:r>
          </w:p>
        </w:tc>
        <w:tc>
          <w:tcPr>
            <w:tcW w:w="1058" w:type="dxa"/>
            <w:shd w:val="clear" w:color="auto" w:fill="D9D9D9" w:themeFill="background1" w:themeFillShade="D9"/>
            <w:vAlign w:val="center"/>
          </w:tcPr>
          <w:p w:rsidR="0087584A" w:rsidRPr="0087584A" w:rsidRDefault="0087584A" w:rsidP="00A430D6">
            <w:pPr>
              <w:jc w:val="center"/>
              <w:rPr>
                <w:rFonts w:asciiTheme="minorHAnsi" w:hAnsiTheme="minorHAnsi" w:cstheme="minorHAnsi"/>
                <w:sz w:val="24"/>
                <w:szCs w:val="24"/>
              </w:rPr>
            </w:pPr>
            <w:r w:rsidRPr="0087584A">
              <w:rPr>
                <w:rFonts w:asciiTheme="minorHAnsi" w:hAnsiTheme="minorHAnsi" w:cstheme="minorHAnsi"/>
                <w:sz w:val="24"/>
                <w:szCs w:val="24"/>
              </w:rPr>
              <w:t>59,0</w:t>
            </w:r>
          </w:p>
        </w:tc>
        <w:tc>
          <w:tcPr>
            <w:tcW w:w="1057" w:type="dxa"/>
            <w:vAlign w:val="center"/>
          </w:tcPr>
          <w:p w:rsidR="0087584A" w:rsidRPr="0087584A" w:rsidRDefault="00614129" w:rsidP="00A430D6">
            <w:pPr>
              <w:jc w:val="center"/>
              <w:rPr>
                <w:rFonts w:asciiTheme="minorHAnsi" w:hAnsiTheme="minorHAnsi" w:cstheme="minorHAnsi"/>
                <w:sz w:val="24"/>
                <w:szCs w:val="24"/>
              </w:rPr>
            </w:pPr>
            <w:r>
              <w:rPr>
                <w:rFonts w:asciiTheme="minorHAnsi" w:hAnsiTheme="minorHAnsi" w:cstheme="minorHAnsi"/>
                <w:sz w:val="24"/>
                <w:szCs w:val="24"/>
              </w:rPr>
              <w:t>103,7</w:t>
            </w:r>
          </w:p>
        </w:tc>
        <w:tc>
          <w:tcPr>
            <w:tcW w:w="1058" w:type="dxa"/>
            <w:vAlign w:val="center"/>
          </w:tcPr>
          <w:p w:rsidR="0087584A" w:rsidRPr="0087584A" w:rsidRDefault="00614129" w:rsidP="00A430D6">
            <w:pPr>
              <w:jc w:val="center"/>
              <w:rPr>
                <w:rFonts w:asciiTheme="minorHAnsi" w:hAnsiTheme="minorHAnsi" w:cstheme="minorHAnsi"/>
                <w:sz w:val="24"/>
                <w:szCs w:val="24"/>
              </w:rPr>
            </w:pPr>
            <w:r>
              <w:rPr>
                <w:rFonts w:asciiTheme="minorHAnsi" w:hAnsiTheme="minorHAnsi" w:cstheme="minorHAnsi"/>
                <w:sz w:val="24"/>
                <w:szCs w:val="24"/>
              </w:rPr>
              <w:t>129,8</w:t>
            </w:r>
          </w:p>
        </w:tc>
        <w:tc>
          <w:tcPr>
            <w:tcW w:w="1057" w:type="dxa"/>
            <w:vAlign w:val="center"/>
          </w:tcPr>
          <w:p w:rsidR="0087584A" w:rsidRPr="0087584A" w:rsidRDefault="00614129" w:rsidP="00A430D6">
            <w:pPr>
              <w:jc w:val="center"/>
              <w:rPr>
                <w:rFonts w:asciiTheme="minorHAnsi" w:hAnsiTheme="minorHAnsi" w:cstheme="minorHAnsi"/>
                <w:sz w:val="24"/>
                <w:szCs w:val="24"/>
              </w:rPr>
            </w:pPr>
            <w:r>
              <w:rPr>
                <w:rFonts w:asciiTheme="minorHAnsi" w:hAnsiTheme="minorHAnsi" w:cstheme="minorHAnsi"/>
                <w:sz w:val="24"/>
                <w:szCs w:val="24"/>
              </w:rPr>
              <w:t>11,2</w:t>
            </w:r>
          </w:p>
        </w:tc>
        <w:tc>
          <w:tcPr>
            <w:tcW w:w="1058" w:type="dxa"/>
            <w:vAlign w:val="center"/>
          </w:tcPr>
          <w:p w:rsidR="0087584A" w:rsidRPr="0087584A" w:rsidRDefault="00614129" w:rsidP="00A430D6">
            <w:pPr>
              <w:jc w:val="center"/>
              <w:rPr>
                <w:rFonts w:asciiTheme="minorHAnsi" w:hAnsiTheme="minorHAnsi" w:cstheme="minorHAnsi"/>
                <w:sz w:val="24"/>
                <w:szCs w:val="24"/>
              </w:rPr>
            </w:pPr>
            <w:r>
              <w:rPr>
                <w:rFonts w:asciiTheme="minorHAnsi" w:hAnsiTheme="minorHAnsi" w:cstheme="minorHAnsi"/>
                <w:sz w:val="24"/>
                <w:szCs w:val="24"/>
              </w:rPr>
              <w:t>203,6</w:t>
            </w:r>
          </w:p>
        </w:tc>
      </w:tr>
      <w:tr w:rsidR="0087584A" w:rsidRPr="0087584A" w:rsidTr="00A430D6">
        <w:trPr>
          <w:jc w:val="center"/>
        </w:trPr>
        <w:tc>
          <w:tcPr>
            <w:tcW w:w="2943" w:type="dxa"/>
          </w:tcPr>
          <w:p w:rsidR="0087584A" w:rsidRPr="0087584A" w:rsidRDefault="0087584A" w:rsidP="00EC51E5">
            <w:pPr>
              <w:rPr>
                <w:rFonts w:asciiTheme="minorHAnsi" w:hAnsiTheme="minorHAnsi" w:cstheme="minorHAnsi"/>
                <w:sz w:val="24"/>
                <w:szCs w:val="24"/>
              </w:rPr>
            </w:pPr>
            <w:r w:rsidRPr="0087584A">
              <w:rPr>
                <w:rFonts w:asciiTheme="minorHAnsi" w:hAnsiTheme="minorHAnsi" w:cstheme="minorHAnsi"/>
                <w:sz w:val="24"/>
                <w:szCs w:val="24"/>
              </w:rPr>
              <w:t>Financement externe total</w:t>
            </w:r>
          </w:p>
        </w:tc>
        <w:tc>
          <w:tcPr>
            <w:tcW w:w="1057" w:type="dxa"/>
            <w:shd w:val="clear" w:color="auto" w:fill="D9D9D9" w:themeFill="background1" w:themeFillShade="D9"/>
            <w:vAlign w:val="center"/>
          </w:tcPr>
          <w:p w:rsidR="0087584A" w:rsidRPr="0087584A" w:rsidRDefault="0087584A" w:rsidP="00A430D6">
            <w:pPr>
              <w:jc w:val="center"/>
              <w:rPr>
                <w:rFonts w:asciiTheme="minorHAnsi" w:hAnsiTheme="minorHAnsi" w:cstheme="minorHAnsi"/>
                <w:sz w:val="24"/>
                <w:szCs w:val="24"/>
              </w:rPr>
            </w:pPr>
            <w:r w:rsidRPr="0087584A">
              <w:rPr>
                <w:rFonts w:asciiTheme="minorHAnsi" w:hAnsiTheme="minorHAnsi" w:cstheme="minorHAnsi"/>
                <w:sz w:val="24"/>
                <w:szCs w:val="24"/>
              </w:rPr>
              <w:t>28,6</w:t>
            </w:r>
          </w:p>
        </w:tc>
        <w:tc>
          <w:tcPr>
            <w:tcW w:w="1058" w:type="dxa"/>
            <w:shd w:val="clear" w:color="auto" w:fill="D9D9D9" w:themeFill="background1" w:themeFillShade="D9"/>
            <w:vAlign w:val="center"/>
          </w:tcPr>
          <w:p w:rsidR="0087584A" w:rsidRPr="0087584A" w:rsidRDefault="0087584A" w:rsidP="00A430D6">
            <w:pPr>
              <w:jc w:val="center"/>
              <w:rPr>
                <w:rFonts w:asciiTheme="minorHAnsi" w:hAnsiTheme="minorHAnsi" w:cstheme="minorHAnsi"/>
                <w:sz w:val="24"/>
                <w:szCs w:val="24"/>
              </w:rPr>
            </w:pPr>
            <w:r w:rsidRPr="0087584A">
              <w:rPr>
                <w:rFonts w:asciiTheme="minorHAnsi" w:hAnsiTheme="minorHAnsi" w:cstheme="minorHAnsi"/>
                <w:sz w:val="24"/>
                <w:szCs w:val="24"/>
              </w:rPr>
              <w:t>107,8</w:t>
            </w:r>
          </w:p>
        </w:tc>
        <w:tc>
          <w:tcPr>
            <w:tcW w:w="1057" w:type="dxa"/>
            <w:vAlign w:val="center"/>
          </w:tcPr>
          <w:p w:rsidR="0087584A" w:rsidRPr="0087584A" w:rsidRDefault="00614129" w:rsidP="00A430D6">
            <w:pPr>
              <w:jc w:val="center"/>
              <w:rPr>
                <w:rFonts w:asciiTheme="minorHAnsi" w:hAnsiTheme="minorHAnsi" w:cstheme="minorHAnsi"/>
                <w:sz w:val="24"/>
                <w:szCs w:val="24"/>
              </w:rPr>
            </w:pPr>
            <w:r>
              <w:rPr>
                <w:rFonts w:asciiTheme="minorHAnsi" w:hAnsiTheme="minorHAnsi" w:cstheme="minorHAnsi"/>
                <w:sz w:val="24"/>
                <w:szCs w:val="24"/>
              </w:rPr>
              <w:t>271,7</w:t>
            </w:r>
          </w:p>
        </w:tc>
        <w:tc>
          <w:tcPr>
            <w:tcW w:w="1058" w:type="dxa"/>
            <w:vAlign w:val="center"/>
          </w:tcPr>
          <w:p w:rsidR="0087584A" w:rsidRPr="0087584A" w:rsidRDefault="00614129" w:rsidP="00A430D6">
            <w:pPr>
              <w:jc w:val="center"/>
              <w:rPr>
                <w:rFonts w:asciiTheme="minorHAnsi" w:hAnsiTheme="minorHAnsi" w:cstheme="minorHAnsi"/>
                <w:sz w:val="24"/>
                <w:szCs w:val="24"/>
              </w:rPr>
            </w:pPr>
            <w:r>
              <w:rPr>
                <w:rFonts w:asciiTheme="minorHAnsi" w:hAnsiTheme="minorHAnsi" w:cstheme="minorHAnsi"/>
                <w:sz w:val="24"/>
                <w:szCs w:val="24"/>
              </w:rPr>
              <w:t>220,3</w:t>
            </w:r>
          </w:p>
        </w:tc>
        <w:tc>
          <w:tcPr>
            <w:tcW w:w="1057" w:type="dxa"/>
            <w:vAlign w:val="center"/>
          </w:tcPr>
          <w:p w:rsidR="0087584A" w:rsidRPr="0087584A" w:rsidRDefault="00614129" w:rsidP="00A430D6">
            <w:pPr>
              <w:jc w:val="center"/>
              <w:rPr>
                <w:rFonts w:asciiTheme="minorHAnsi" w:hAnsiTheme="minorHAnsi" w:cstheme="minorHAnsi"/>
                <w:sz w:val="24"/>
                <w:szCs w:val="24"/>
              </w:rPr>
            </w:pPr>
            <w:r>
              <w:rPr>
                <w:rFonts w:asciiTheme="minorHAnsi" w:hAnsiTheme="minorHAnsi" w:cstheme="minorHAnsi"/>
                <w:sz w:val="24"/>
                <w:szCs w:val="24"/>
              </w:rPr>
              <w:t>140,9</w:t>
            </w:r>
          </w:p>
        </w:tc>
        <w:tc>
          <w:tcPr>
            <w:tcW w:w="1058" w:type="dxa"/>
            <w:vAlign w:val="center"/>
          </w:tcPr>
          <w:p w:rsidR="0087584A" w:rsidRPr="0087584A" w:rsidRDefault="00614129" w:rsidP="00A430D6">
            <w:pPr>
              <w:jc w:val="center"/>
              <w:rPr>
                <w:rFonts w:asciiTheme="minorHAnsi" w:hAnsiTheme="minorHAnsi" w:cstheme="minorHAnsi"/>
                <w:sz w:val="24"/>
                <w:szCs w:val="24"/>
              </w:rPr>
            </w:pPr>
            <w:r>
              <w:rPr>
                <w:rFonts w:asciiTheme="minorHAnsi" w:hAnsiTheme="minorHAnsi" w:cstheme="minorHAnsi"/>
                <w:sz w:val="24"/>
                <w:szCs w:val="24"/>
              </w:rPr>
              <w:t>346,2</w:t>
            </w:r>
          </w:p>
        </w:tc>
      </w:tr>
      <w:tr w:rsidR="0087584A" w:rsidRPr="0087584A" w:rsidTr="00A430D6">
        <w:trPr>
          <w:jc w:val="center"/>
        </w:trPr>
        <w:tc>
          <w:tcPr>
            <w:tcW w:w="2943" w:type="dxa"/>
          </w:tcPr>
          <w:p w:rsidR="0087584A" w:rsidRPr="0087584A" w:rsidRDefault="0087584A" w:rsidP="00EC51E5">
            <w:pPr>
              <w:rPr>
                <w:rFonts w:asciiTheme="minorHAnsi" w:hAnsiTheme="minorHAnsi" w:cstheme="minorHAnsi"/>
                <w:sz w:val="24"/>
                <w:szCs w:val="24"/>
              </w:rPr>
            </w:pPr>
            <w:r w:rsidRPr="0087584A">
              <w:rPr>
                <w:rFonts w:asciiTheme="minorHAnsi" w:hAnsiTheme="minorHAnsi" w:cstheme="minorHAnsi"/>
                <w:sz w:val="24"/>
                <w:szCs w:val="24"/>
              </w:rPr>
              <w:t>Part de l’endettement bancaire dans le financement externe en %</w:t>
            </w:r>
          </w:p>
        </w:tc>
        <w:tc>
          <w:tcPr>
            <w:tcW w:w="1057" w:type="dxa"/>
            <w:shd w:val="clear" w:color="auto" w:fill="D9D9D9" w:themeFill="background1" w:themeFillShade="D9"/>
            <w:vAlign w:val="center"/>
          </w:tcPr>
          <w:p w:rsidR="0087584A" w:rsidRPr="0087584A" w:rsidRDefault="0087584A" w:rsidP="00A430D6">
            <w:pPr>
              <w:jc w:val="center"/>
              <w:rPr>
                <w:rFonts w:asciiTheme="minorHAnsi" w:hAnsiTheme="minorHAnsi" w:cstheme="minorHAnsi"/>
                <w:sz w:val="24"/>
                <w:szCs w:val="24"/>
              </w:rPr>
            </w:pPr>
            <w:r w:rsidRPr="0087584A">
              <w:rPr>
                <w:rFonts w:asciiTheme="minorHAnsi" w:hAnsiTheme="minorHAnsi" w:cstheme="minorHAnsi"/>
                <w:sz w:val="24"/>
                <w:szCs w:val="24"/>
              </w:rPr>
              <w:t>63%</w:t>
            </w:r>
          </w:p>
        </w:tc>
        <w:tc>
          <w:tcPr>
            <w:tcW w:w="1058" w:type="dxa"/>
            <w:shd w:val="clear" w:color="auto" w:fill="D9D9D9" w:themeFill="background1" w:themeFillShade="D9"/>
            <w:vAlign w:val="center"/>
          </w:tcPr>
          <w:p w:rsidR="0087584A" w:rsidRPr="0087584A" w:rsidRDefault="0087584A" w:rsidP="00A430D6">
            <w:pPr>
              <w:jc w:val="center"/>
              <w:rPr>
                <w:rFonts w:asciiTheme="minorHAnsi" w:hAnsiTheme="minorHAnsi" w:cstheme="minorHAnsi"/>
                <w:sz w:val="24"/>
                <w:szCs w:val="24"/>
              </w:rPr>
            </w:pPr>
            <w:r w:rsidRPr="0087584A">
              <w:rPr>
                <w:rFonts w:asciiTheme="minorHAnsi" w:hAnsiTheme="minorHAnsi" w:cstheme="minorHAnsi"/>
                <w:sz w:val="24"/>
                <w:szCs w:val="24"/>
              </w:rPr>
              <w:t>55%</w:t>
            </w:r>
          </w:p>
        </w:tc>
        <w:tc>
          <w:tcPr>
            <w:tcW w:w="1057" w:type="dxa"/>
            <w:vAlign w:val="center"/>
          </w:tcPr>
          <w:p w:rsidR="0087584A" w:rsidRPr="0087584A" w:rsidRDefault="00614129" w:rsidP="00A430D6">
            <w:pPr>
              <w:jc w:val="center"/>
              <w:rPr>
                <w:rFonts w:asciiTheme="minorHAnsi" w:hAnsiTheme="minorHAnsi" w:cstheme="minorHAnsi"/>
                <w:sz w:val="24"/>
                <w:szCs w:val="24"/>
              </w:rPr>
            </w:pPr>
            <w:r>
              <w:rPr>
                <w:rFonts w:asciiTheme="minorHAnsi" w:hAnsiTheme="minorHAnsi" w:cstheme="minorHAnsi"/>
                <w:sz w:val="24"/>
                <w:szCs w:val="24"/>
              </w:rPr>
              <w:t>38,2</w:t>
            </w:r>
            <w:r w:rsidR="00DA7D0F">
              <w:rPr>
                <w:rFonts w:asciiTheme="minorHAnsi" w:hAnsiTheme="minorHAnsi" w:cstheme="minorHAnsi"/>
                <w:sz w:val="24"/>
                <w:szCs w:val="24"/>
              </w:rPr>
              <w:t>%</w:t>
            </w:r>
          </w:p>
        </w:tc>
        <w:tc>
          <w:tcPr>
            <w:tcW w:w="1058" w:type="dxa"/>
            <w:vAlign w:val="center"/>
          </w:tcPr>
          <w:p w:rsidR="0087584A" w:rsidRPr="0087584A" w:rsidRDefault="0087584A" w:rsidP="00A430D6">
            <w:pPr>
              <w:jc w:val="center"/>
              <w:rPr>
                <w:rFonts w:asciiTheme="minorHAnsi" w:hAnsiTheme="minorHAnsi" w:cstheme="minorHAnsi"/>
                <w:sz w:val="24"/>
                <w:szCs w:val="24"/>
              </w:rPr>
            </w:pPr>
            <w:r w:rsidRPr="0087584A">
              <w:rPr>
                <w:rFonts w:asciiTheme="minorHAnsi" w:hAnsiTheme="minorHAnsi" w:cstheme="minorHAnsi"/>
                <w:sz w:val="24"/>
                <w:szCs w:val="24"/>
              </w:rPr>
              <w:t>%</w:t>
            </w:r>
          </w:p>
        </w:tc>
        <w:tc>
          <w:tcPr>
            <w:tcW w:w="1057" w:type="dxa"/>
            <w:vAlign w:val="center"/>
          </w:tcPr>
          <w:p w:rsidR="0087584A" w:rsidRPr="0087584A" w:rsidRDefault="00DA7D0F" w:rsidP="00A430D6">
            <w:pPr>
              <w:jc w:val="center"/>
              <w:rPr>
                <w:rFonts w:asciiTheme="minorHAnsi" w:hAnsiTheme="minorHAnsi" w:cstheme="minorHAnsi"/>
                <w:sz w:val="24"/>
                <w:szCs w:val="24"/>
              </w:rPr>
            </w:pPr>
            <w:r>
              <w:rPr>
                <w:rFonts w:asciiTheme="minorHAnsi" w:hAnsiTheme="minorHAnsi" w:cstheme="minorHAnsi"/>
                <w:sz w:val="24"/>
                <w:szCs w:val="24"/>
              </w:rPr>
              <w:t>7,9%</w:t>
            </w:r>
          </w:p>
        </w:tc>
        <w:tc>
          <w:tcPr>
            <w:tcW w:w="1058" w:type="dxa"/>
            <w:vAlign w:val="center"/>
          </w:tcPr>
          <w:p w:rsidR="0087584A" w:rsidRPr="0087584A" w:rsidRDefault="00A430D6" w:rsidP="00A430D6">
            <w:pPr>
              <w:jc w:val="center"/>
              <w:rPr>
                <w:rFonts w:asciiTheme="minorHAnsi" w:hAnsiTheme="minorHAnsi" w:cstheme="minorHAnsi"/>
                <w:sz w:val="24"/>
                <w:szCs w:val="24"/>
              </w:rPr>
            </w:pPr>
            <w:r>
              <w:rPr>
                <w:rFonts w:asciiTheme="minorHAnsi" w:hAnsiTheme="minorHAnsi" w:cstheme="minorHAnsi"/>
                <w:sz w:val="24"/>
                <w:szCs w:val="24"/>
              </w:rPr>
              <w:t>58,8</w:t>
            </w:r>
            <w:r w:rsidR="00DA7D0F">
              <w:rPr>
                <w:rFonts w:asciiTheme="minorHAnsi" w:hAnsiTheme="minorHAnsi" w:cstheme="minorHAnsi"/>
                <w:sz w:val="24"/>
                <w:szCs w:val="24"/>
              </w:rPr>
              <w:t>%</w:t>
            </w:r>
          </w:p>
        </w:tc>
      </w:tr>
      <w:tr w:rsidR="0087584A" w:rsidRPr="0087584A" w:rsidTr="00A430D6">
        <w:trPr>
          <w:jc w:val="center"/>
        </w:trPr>
        <w:tc>
          <w:tcPr>
            <w:tcW w:w="2943" w:type="dxa"/>
          </w:tcPr>
          <w:p w:rsidR="0087584A" w:rsidRPr="0087584A" w:rsidRDefault="0087584A" w:rsidP="00EC51E5">
            <w:pPr>
              <w:rPr>
                <w:rFonts w:asciiTheme="minorHAnsi" w:hAnsiTheme="minorHAnsi" w:cstheme="minorHAnsi"/>
                <w:sz w:val="24"/>
                <w:szCs w:val="24"/>
              </w:rPr>
            </w:pPr>
            <w:r w:rsidRPr="0087584A">
              <w:rPr>
                <w:rFonts w:asciiTheme="minorHAnsi" w:hAnsiTheme="minorHAnsi" w:cstheme="minorHAnsi"/>
                <w:sz w:val="24"/>
                <w:szCs w:val="24"/>
              </w:rPr>
              <w:t>Part du financement par actions dans le financement externe en %</w:t>
            </w:r>
          </w:p>
        </w:tc>
        <w:tc>
          <w:tcPr>
            <w:tcW w:w="1057" w:type="dxa"/>
            <w:shd w:val="clear" w:color="auto" w:fill="D9D9D9" w:themeFill="background1" w:themeFillShade="D9"/>
            <w:vAlign w:val="center"/>
          </w:tcPr>
          <w:p w:rsidR="0087584A" w:rsidRPr="0087584A" w:rsidRDefault="0087584A" w:rsidP="00A430D6">
            <w:pPr>
              <w:jc w:val="center"/>
              <w:rPr>
                <w:rFonts w:asciiTheme="minorHAnsi" w:hAnsiTheme="minorHAnsi" w:cstheme="minorHAnsi"/>
                <w:sz w:val="24"/>
                <w:szCs w:val="24"/>
              </w:rPr>
            </w:pPr>
            <w:r w:rsidRPr="0087584A">
              <w:rPr>
                <w:rFonts w:asciiTheme="minorHAnsi" w:hAnsiTheme="minorHAnsi" w:cstheme="minorHAnsi"/>
                <w:sz w:val="24"/>
                <w:szCs w:val="24"/>
              </w:rPr>
              <w:t>2,8%</w:t>
            </w:r>
          </w:p>
        </w:tc>
        <w:tc>
          <w:tcPr>
            <w:tcW w:w="1058" w:type="dxa"/>
            <w:shd w:val="clear" w:color="auto" w:fill="D9D9D9" w:themeFill="background1" w:themeFillShade="D9"/>
            <w:vAlign w:val="center"/>
          </w:tcPr>
          <w:p w:rsidR="0087584A" w:rsidRPr="0087584A" w:rsidRDefault="0087584A" w:rsidP="00A430D6">
            <w:pPr>
              <w:jc w:val="center"/>
              <w:rPr>
                <w:rFonts w:asciiTheme="minorHAnsi" w:hAnsiTheme="minorHAnsi" w:cstheme="minorHAnsi"/>
                <w:sz w:val="24"/>
                <w:szCs w:val="24"/>
              </w:rPr>
            </w:pPr>
            <w:r w:rsidRPr="0087584A">
              <w:rPr>
                <w:rFonts w:asciiTheme="minorHAnsi" w:hAnsiTheme="minorHAnsi" w:cstheme="minorHAnsi"/>
                <w:sz w:val="24"/>
                <w:szCs w:val="24"/>
              </w:rPr>
              <w:t>31%</w:t>
            </w:r>
          </w:p>
        </w:tc>
        <w:tc>
          <w:tcPr>
            <w:tcW w:w="1057" w:type="dxa"/>
            <w:vAlign w:val="center"/>
          </w:tcPr>
          <w:p w:rsidR="0087584A" w:rsidRPr="0087584A" w:rsidRDefault="00614129" w:rsidP="00A430D6">
            <w:pPr>
              <w:jc w:val="center"/>
              <w:rPr>
                <w:rFonts w:asciiTheme="minorHAnsi" w:hAnsiTheme="minorHAnsi" w:cstheme="minorHAnsi"/>
                <w:sz w:val="24"/>
                <w:szCs w:val="24"/>
              </w:rPr>
            </w:pPr>
            <w:r>
              <w:rPr>
                <w:rFonts w:asciiTheme="minorHAnsi" w:hAnsiTheme="minorHAnsi" w:cstheme="minorHAnsi"/>
                <w:sz w:val="24"/>
                <w:szCs w:val="24"/>
              </w:rPr>
              <w:t>47,2</w:t>
            </w:r>
            <w:r w:rsidR="0087584A" w:rsidRPr="0087584A">
              <w:rPr>
                <w:rFonts w:asciiTheme="minorHAnsi" w:hAnsiTheme="minorHAnsi" w:cstheme="minorHAnsi"/>
                <w:sz w:val="24"/>
                <w:szCs w:val="24"/>
              </w:rPr>
              <w:t>%</w:t>
            </w:r>
          </w:p>
        </w:tc>
        <w:tc>
          <w:tcPr>
            <w:tcW w:w="1058" w:type="dxa"/>
            <w:vAlign w:val="center"/>
          </w:tcPr>
          <w:p w:rsidR="0087584A" w:rsidRPr="0087584A" w:rsidRDefault="0087584A" w:rsidP="00A430D6">
            <w:pPr>
              <w:jc w:val="center"/>
              <w:rPr>
                <w:rFonts w:asciiTheme="minorHAnsi" w:hAnsiTheme="minorHAnsi" w:cstheme="minorHAnsi"/>
                <w:sz w:val="24"/>
                <w:szCs w:val="24"/>
              </w:rPr>
            </w:pPr>
            <w:r w:rsidRPr="0087584A">
              <w:rPr>
                <w:rFonts w:asciiTheme="minorHAnsi" w:hAnsiTheme="minorHAnsi" w:cstheme="minorHAnsi"/>
                <w:sz w:val="24"/>
                <w:szCs w:val="24"/>
              </w:rPr>
              <w:t>%</w:t>
            </w:r>
          </w:p>
        </w:tc>
        <w:tc>
          <w:tcPr>
            <w:tcW w:w="1057" w:type="dxa"/>
            <w:vAlign w:val="center"/>
          </w:tcPr>
          <w:p w:rsidR="0087584A" w:rsidRPr="0087584A" w:rsidRDefault="00A430D6" w:rsidP="00A430D6">
            <w:pPr>
              <w:jc w:val="center"/>
              <w:rPr>
                <w:rFonts w:asciiTheme="minorHAnsi" w:hAnsiTheme="minorHAnsi" w:cstheme="minorHAnsi"/>
                <w:sz w:val="24"/>
                <w:szCs w:val="24"/>
              </w:rPr>
            </w:pPr>
            <w:r>
              <w:rPr>
                <w:rFonts w:asciiTheme="minorHAnsi" w:hAnsiTheme="minorHAnsi" w:cstheme="minorHAnsi"/>
                <w:sz w:val="24"/>
                <w:szCs w:val="24"/>
              </w:rPr>
              <w:t>75,8</w:t>
            </w:r>
            <w:r w:rsidR="0087584A" w:rsidRPr="0087584A">
              <w:rPr>
                <w:rFonts w:asciiTheme="minorHAnsi" w:hAnsiTheme="minorHAnsi" w:cstheme="minorHAnsi"/>
                <w:sz w:val="24"/>
                <w:szCs w:val="24"/>
              </w:rPr>
              <w:t>%</w:t>
            </w:r>
          </w:p>
        </w:tc>
        <w:tc>
          <w:tcPr>
            <w:tcW w:w="1058" w:type="dxa"/>
            <w:vAlign w:val="center"/>
          </w:tcPr>
          <w:p w:rsidR="0087584A" w:rsidRPr="0087584A" w:rsidRDefault="00A430D6" w:rsidP="00A430D6">
            <w:pPr>
              <w:jc w:val="center"/>
              <w:rPr>
                <w:rFonts w:asciiTheme="minorHAnsi" w:hAnsiTheme="minorHAnsi" w:cstheme="minorHAnsi"/>
                <w:sz w:val="24"/>
                <w:szCs w:val="24"/>
              </w:rPr>
            </w:pPr>
            <w:r>
              <w:rPr>
                <w:rFonts w:asciiTheme="minorHAnsi" w:hAnsiTheme="minorHAnsi" w:cstheme="minorHAnsi"/>
                <w:sz w:val="24"/>
                <w:szCs w:val="24"/>
              </w:rPr>
              <w:t>32,8</w:t>
            </w:r>
            <w:r w:rsidR="00614129">
              <w:rPr>
                <w:rFonts w:asciiTheme="minorHAnsi" w:hAnsiTheme="minorHAnsi" w:cstheme="minorHAnsi"/>
                <w:sz w:val="24"/>
                <w:szCs w:val="24"/>
              </w:rPr>
              <w:t>%</w:t>
            </w:r>
          </w:p>
        </w:tc>
      </w:tr>
    </w:tbl>
    <w:p w:rsidR="0087584A" w:rsidRPr="00A430D6" w:rsidRDefault="0087584A" w:rsidP="00A430D6">
      <w:pPr>
        <w:ind w:left="708"/>
        <w:rPr>
          <w:rFonts w:asciiTheme="minorHAnsi" w:hAnsiTheme="minorHAnsi" w:cstheme="minorHAnsi"/>
          <w:sz w:val="16"/>
          <w:szCs w:val="16"/>
        </w:rPr>
      </w:pPr>
      <w:r w:rsidRPr="00A430D6">
        <w:rPr>
          <w:rFonts w:asciiTheme="minorHAnsi" w:hAnsiTheme="minorHAnsi" w:cstheme="minorHAnsi"/>
          <w:sz w:val="16"/>
          <w:szCs w:val="16"/>
        </w:rPr>
        <w:t xml:space="preserve">1. Épargne brute + </w:t>
      </w:r>
      <w:r w:rsidR="00A8303B" w:rsidRPr="00A430D6">
        <w:rPr>
          <w:rFonts w:asciiTheme="minorHAnsi" w:hAnsiTheme="minorHAnsi" w:cstheme="minorHAnsi"/>
          <w:sz w:val="16"/>
          <w:szCs w:val="16"/>
        </w:rPr>
        <w:t>transferts en capital à recevoir</w:t>
      </w:r>
      <w:r w:rsidRPr="00A430D6">
        <w:rPr>
          <w:rFonts w:asciiTheme="minorHAnsi" w:hAnsiTheme="minorHAnsi" w:cstheme="minorHAnsi"/>
          <w:sz w:val="16"/>
          <w:szCs w:val="16"/>
        </w:rPr>
        <w:t xml:space="preserve"> </w:t>
      </w:r>
      <w:r w:rsidR="00A8303B" w:rsidRPr="00A430D6">
        <w:rPr>
          <w:rFonts w:asciiTheme="minorHAnsi" w:hAnsiTheme="minorHAnsi" w:cstheme="minorHAnsi"/>
          <w:sz w:val="16"/>
          <w:szCs w:val="16"/>
        </w:rPr>
        <w:t>–</w:t>
      </w:r>
      <w:r w:rsidRPr="00A430D6">
        <w:rPr>
          <w:rFonts w:asciiTheme="minorHAnsi" w:hAnsiTheme="minorHAnsi" w:cstheme="minorHAnsi"/>
          <w:sz w:val="16"/>
          <w:szCs w:val="16"/>
        </w:rPr>
        <w:t xml:space="preserve"> </w:t>
      </w:r>
      <w:r w:rsidR="00A8303B" w:rsidRPr="00A430D6">
        <w:rPr>
          <w:rFonts w:asciiTheme="minorHAnsi" w:hAnsiTheme="minorHAnsi" w:cstheme="minorHAnsi"/>
          <w:sz w:val="16"/>
          <w:szCs w:val="16"/>
        </w:rPr>
        <w:t>transferts en capital à payer</w:t>
      </w:r>
    </w:p>
    <w:p w:rsidR="0087584A" w:rsidRPr="00A430D6" w:rsidRDefault="0087584A" w:rsidP="00A430D6">
      <w:pPr>
        <w:ind w:left="708"/>
        <w:rPr>
          <w:rFonts w:asciiTheme="minorHAnsi" w:hAnsiTheme="minorHAnsi" w:cstheme="minorHAnsi"/>
          <w:sz w:val="16"/>
          <w:szCs w:val="16"/>
        </w:rPr>
      </w:pPr>
      <w:r w:rsidRPr="00A430D6">
        <w:rPr>
          <w:rFonts w:asciiTheme="minorHAnsi" w:hAnsiTheme="minorHAnsi" w:cstheme="minorHAnsi"/>
          <w:sz w:val="16"/>
          <w:szCs w:val="16"/>
        </w:rPr>
        <w:t xml:space="preserve">2. </w:t>
      </w:r>
      <w:r w:rsidR="00A430D6">
        <w:rPr>
          <w:rFonts w:asciiTheme="minorHAnsi" w:hAnsiTheme="minorHAnsi" w:cstheme="minorHAnsi"/>
          <w:sz w:val="16"/>
          <w:szCs w:val="16"/>
        </w:rPr>
        <w:t>Titres de créance à court terme et à long terme</w:t>
      </w:r>
    </w:p>
    <w:p w:rsidR="00A430D6" w:rsidRDefault="00A430D6" w:rsidP="0087584A">
      <w:pPr>
        <w:jc w:val="right"/>
        <w:rPr>
          <w:rFonts w:asciiTheme="minorHAnsi" w:hAnsiTheme="minorHAnsi" w:cstheme="minorHAnsi"/>
          <w:i/>
        </w:rPr>
      </w:pPr>
    </w:p>
    <w:p w:rsidR="00982A68" w:rsidRPr="00A430D6" w:rsidRDefault="0087584A" w:rsidP="0087584A">
      <w:pPr>
        <w:jc w:val="right"/>
        <w:rPr>
          <w:rFonts w:asciiTheme="minorHAnsi" w:hAnsiTheme="minorHAnsi" w:cstheme="minorHAnsi"/>
          <w:i/>
          <w:sz w:val="20"/>
          <w:szCs w:val="20"/>
        </w:rPr>
      </w:pPr>
      <w:r w:rsidRPr="00A430D6">
        <w:rPr>
          <w:rFonts w:asciiTheme="minorHAnsi" w:hAnsiTheme="minorHAnsi" w:cstheme="minorHAnsi"/>
          <w:i/>
          <w:sz w:val="20"/>
          <w:szCs w:val="20"/>
        </w:rPr>
        <w:t xml:space="preserve">Dominique Plihon, Le nouveau capitalisme, La Découverte, 2009 </w:t>
      </w:r>
      <w:r w:rsidR="00982A68" w:rsidRPr="00A430D6">
        <w:rPr>
          <w:rFonts w:asciiTheme="minorHAnsi" w:hAnsiTheme="minorHAnsi" w:cstheme="minorHAnsi"/>
          <w:i/>
          <w:sz w:val="20"/>
          <w:szCs w:val="20"/>
        </w:rPr>
        <w:t>pour les années 1980 et 1990</w:t>
      </w:r>
    </w:p>
    <w:p w:rsidR="0087584A" w:rsidRPr="00A430D6" w:rsidRDefault="00982A68" w:rsidP="0087584A">
      <w:pPr>
        <w:jc w:val="right"/>
        <w:rPr>
          <w:rFonts w:asciiTheme="minorHAnsi" w:hAnsiTheme="minorHAnsi" w:cstheme="minorHAnsi"/>
          <w:i/>
          <w:sz w:val="20"/>
          <w:szCs w:val="20"/>
        </w:rPr>
      </w:pPr>
      <w:r w:rsidRPr="00A430D6">
        <w:rPr>
          <w:rFonts w:asciiTheme="minorHAnsi" w:hAnsiTheme="minorHAnsi" w:cstheme="minorHAnsi"/>
          <w:i/>
          <w:sz w:val="20"/>
          <w:szCs w:val="20"/>
        </w:rPr>
        <w:t>INSEE – Comptes nationaux annuels à partir de 2000 :</w:t>
      </w:r>
    </w:p>
    <w:p w:rsidR="00982A68" w:rsidRPr="00A430D6" w:rsidRDefault="00982A68" w:rsidP="0087584A">
      <w:pPr>
        <w:jc w:val="right"/>
        <w:rPr>
          <w:rFonts w:asciiTheme="minorHAnsi" w:hAnsiTheme="minorHAnsi" w:cstheme="minorHAnsi"/>
          <w:i/>
          <w:sz w:val="20"/>
          <w:szCs w:val="20"/>
        </w:rPr>
      </w:pPr>
      <w:r w:rsidRPr="00A430D6">
        <w:rPr>
          <w:rFonts w:asciiTheme="minorHAnsi" w:hAnsiTheme="minorHAnsi" w:cstheme="minorHAnsi"/>
          <w:i/>
          <w:sz w:val="20"/>
          <w:szCs w:val="20"/>
        </w:rPr>
        <w:t xml:space="preserve">Autofinancement : tableau </w:t>
      </w:r>
      <w:hyperlink r:id="rId8" w:history="1">
        <w:r w:rsidR="009464C2" w:rsidRPr="009464C2">
          <w:rPr>
            <w:rStyle w:val="Lienhypertexte"/>
            <w:rFonts w:asciiTheme="minorHAnsi" w:hAnsiTheme="minorHAnsi" w:cstheme="minorHAnsi"/>
            <w:i/>
            <w:sz w:val="20"/>
            <w:szCs w:val="20"/>
          </w:rPr>
          <w:t>7.101</w:t>
        </w:r>
      </w:hyperlink>
    </w:p>
    <w:p w:rsidR="00982A68" w:rsidRDefault="00614129" w:rsidP="0087584A">
      <w:pPr>
        <w:jc w:val="right"/>
        <w:rPr>
          <w:rFonts w:asciiTheme="minorHAnsi" w:hAnsiTheme="minorHAnsi" w:cstheme="minorHAnsi"/>
          <w:i/>
          <w:sz w:val="20"/>
          <w:szCs w:val="20"/>
        </w:rPr>
      </w:pPr>
      <w:r w:rsidRPr="00A430D6">
        <w:rPr>
          <w:rFonts w:asciiTheme="minorHAnsi" w:hAnsiTheme="minorHAnsi" w:cstheme="minorHAnsi"/>
          <w:i/>
          <w:sz w:val="20"/>
          <w:szCs w:val="20"/>
        </w:rPr>
        <w:t xml:space="preserve">TOF : tableau </w:t>
      </w:r>
      <w:hyperlink r:id="rId9" w:history="1">
        <w:r w:rsidRPr="009464C2">
          <w:rPr>
            <w:rStyle w:val="Lienhypertexte"/>
            <w:rFonts w:asciiTheme="minorHAnsi" w:hAnsiTheme="minorHAnsi" w:cstheme="minorHAnsi"/>
            <w:i/>
            <w:sz w:val="20"/>
            <w:szCs w:val="20"/>
          </w:rPr>
          <w:t>8.102</w:t>
        </w:r>
      </w:hyperlink>
      <w:r w:rsidRPr="00A430D6">
        <w:rPr>
          <w:rFonts w:asciiTheme="minorHAnsi" w:hAnsiTheme="minorHAnsi" w:cstheme="minorHAnsi"/>
          <w:i/>
          <w:sz w:val="20"/>
          <w:szCs w:val="20"/>
        </w:rPr>
        <w:t xml:space="preserve"> (flux de passif)</w:t>
      </w:r>
    </w:p>
    <w:p w:rsidR="009464C2" w:rsidRPr="00A430D6" w:rsidRDefault="009464C2" w:rsidP="0087584A">
      <w:pPr>
        <w:jc w:val="right"/>
        <w:rPr>
          <w:rFonts w:asciiTheme="minorHAnsi" w:hAnsiTheme="minorHAnsi" w:cstheme="minorHAnsi"/>
          <w:i/>
          <w:sz w:val="20"/>
          <w:szCs w:val="20"/>
        </w:rPr>
      </w:pPr>
      <w:r>
        <w:rPr>
          <w:rFonts w:asciiTheme="minorHAnsi" w:hAnsiTheme="minorHAnsi" w:cstheme="minorHAnsi"/>
          <w:i/>
          <w:sz w:val="20"/>
          <w:szCs w:val="20"/>
        </w:rPr>
        <w:t>(attendre automne 2020 pour TOF + récents dans comptes nationaux 2019)</w:t>
      </w:r>
    </w:p>
    <w:p w:rsidR="0087584A" w:rsidRPr="0087584A" w:rsidRDefault="0087584A" w:rsidP="0087584A">
      <w:pPr>
        <w:rPr>
          <w:rFonts w:asciiTheme="minorHAnsi" w:hAnsiTheme="minorHAnsi" w:cstheme="minorHAnsi"/>
        </w:rPr>
      </w:pPr>
    </w:p>
    <w:p w:rsidR="0087584A" w:rsidRPr="0087584A" w:rsidRDefault="0087584A" w:rsidP="0016103B">
      <w:pPr>
        <w:pStyle w:val="Paragraphedeliste"/>
        <w:numPr>
          <w:ilvl w:val="0"/>
          <w:numId w:val="2"/>
        </w:numPr>
        <w:rPr>
          <w:rFonts w:asciiTheme="minorHAnsi" w:hAnsiTheme="minorHAnsi" w:cstheme="minorHAnsi"/>
        </w:rPr>
      </w:pPr>
      <w:r w:rsidRPr="0087584A">
        <w:rPr>
          <w:rFonts w:asciiTheme="minorHAnsi" w:hAnsiTheme="minorHAnsi" w:cstheme="minorHAnsi"/>
        </w:rPr>
        <w:t>Calculez les données manquantes dans le tableau.</w:t>
      </w:r>
    </w:p>
    <w:p w:rsidR="0087584A" w:rsidRPr="0087584A" w:rsidRDefault="0087584A" w:rsidP="0016103B">
      <w:pPr>
        <w:pStyle w:val="Paragraphedeliste"/>
        <w:numPr>
          <w:ilvl w:val="0"/>
          <w:numId w:val="2"/>
        </w:numPr>
        <w:rPr>
          <w:rFonts w:asciiTheme="minorHAnsi" w:hAnsiTheme="minorHAnsi" w:cstheme="minorHAnsi"/>
        </w:rPr>
      </w:pPr>
      <w:r w:rsidRPr="0087584A">
        <w:rPr>
          <w:rFonts w:asciiTheme="minorHAnsi" w:hAnsiTheme="minorHAnsi" w:cstheme="minorHAnsi"/>
        </w:rPr>
        <w:t>Comment ont évolué les modes de financement des entreprises depuis 1980?</w:t>
      </w:r>
    </w:p>
    <w:p w:rsidR="0087584A" w:rsidRPr="0087584A" w:rsidRDefault="0087584A" w:rsidP="0016103B">
      <w:pPr>
        <w:pStyle w:val="Paragraphedeliste"/>
        <w:numPr>
          <w:ilvl w:val="0"/>
          <w:numId w:val="2"/>
        </w:numPr>
        <w:rPr>
          <w:rFonts w:asciiTheme="minorHAnsi" w:hAnsiTheme="minorHAnsi" w:cstheme="minorHAnsi"/>
        </w:rPr>
      </w:pPr>
      <w:r w:rsidRPr="0087584A">
        <w:rPr>
          <w:rFonts w:asciiTheme="minorHAnsi" w:hAnsiTheme="minorHAnsi" w:cstheme="minorHAnsi"/>
        </w:rPr>
        <w:t>Comment expliquer la forte chute de l'endettement bancaire entre 2008 et 2010?</w:t>
      </w:r>
    </w:p>
    <w:p w:rsidR="0087584A" w:rsidRPr="0087584A" w:rsidRDefault="0087584A" w:rsidP="0087584A">
      <w:pPr>
        <w:rPr>
          <w:rFonts w:asciiTheme="minorHAnsi" w:hAnsiTheme="minorHAnsi" w:cstheme="minorHAnsi"/>
        </w:rPr>
      </w:pPr>
    </w:p>
    <w:p w:rsidR="00A430D6" w:rsidRDefault="00A430D6">
      <w:pPr>
        <w:spacing w:after="200" w:line="276" w:lineRule="auto"/>
        <w:rPr>
          <w:rFonts w:asciiTheme="minorHAnsi" w:hAnsiTheme="minorHAnsi" w:cstheme="minorHAnsi"/>
        </w:rPr>
      </w:pPr>
      <w:r>
        <w:rPr>
          <w:rFonts w:asciiTheme="minorHAnsi" w:hAnsiTheme="minorHAnsi" w:cstheme="minorHAnsi"/>
        </w:rPr>
        <w:br w:type="page"/>
      </w:r>
    </w:p>
    <w:p w:rsidR="0087584A" w:rsidRDefault="0087584A" w:rsidP="0087584A">
      <w:pPr>
        <w:rPr>
          <w:rFonts w:asciiTheme="minorHAnsi" w:hAnsiTheme="minorHAnsi" w:cstheme="minorHAnsi"/>
        </w:rPr>
      </w:pPr>
      <w:r w:rsidRPr="0087584A">
        <w:rPr>
          <w:rFonts w:asciiTheme="minorHAnsi" w:hAnsiTheme="minorHAnsi" w:cstheme="minorHAnsi"/>
        </w:rPr>
        <w:lastRenderedPageBreak/>
        <w:t>Document 3 : Les différents marchés financiers</w:t>
      </w:r>
    </w:p>
    <w:p w:rsidR="00E53F43" w:rsidRPr="0087584A" w:rsidRDefault="00E53F43" w:rsidP="0087584A">
      <w:pPr>
        <w:rPr>
          <w:rFonts w:asciiTheme="minorHAnsi" w:hAnsiTheme="minorHAnsi" w:cstheme="minorHAnsi"/>
        </w:rPr>
      </w:pPr>
    </w:p>
    <w:p w:rsidR="0087584A" w:rsidRPr="0087584A" w:rsidRDefault="00E53F43" w:rsidP="00A430D6">
      <w:pPr>
        <w:jc w:val="center"/>
        <w:rPr>
          <w:rFonts w:asciiTheme="minorHAnsi" w:hAnsiTheme="minorHAnsi" w:cstheme="minorHAnsi"/>
        </w:rPr>
      </w:pPr>
      <w:r w:rsidRPr="00E53F43">
        <w:rPr>
          <w:rFonts w:asciiTheme="minorHAnsi" w:hAnsiTheme="minorHAnsi" w:cstheme="minorHAnsi"/>
          <w:noProof/>
        </w:rPr>
        <w:drawing>
          <wp:inline distT="0" distB="0" distL="0" distR="0">
            <wp:extent cx="5972810" cy="4358640"/>
            <wp:effectExtent l="19050" t="0" r="8890" b="0"/>
            <wp:docPr id="6" name="Objet 1"/>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7992888" cy="5832648"/>
                      <a:chOff x="539552" y="692696"/>
                      <a:chExt cx="7992888" cy="5832648"/>
                    </a:xfrm>
                  </a:grpSpPr>
                  <a:sp>
                    <a:nvSpPr>
                      <a:cNvPr id="4" name="Rectangle à coins arrondis 3"/>
                      <a:cNvSpPr/>
                    </a:nvSpPr>
                    <a:spPr>
                      <a:xfrm>
                        <a:off x="539552" y="692696"/>
                        <a:ext cx="1728192" cy="1296144"/>
                      </a:xfrm>
                      <a:prstGeom prst="roundRect">
                        <a:avLst/>
                      </a:prstGeom>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sz="1600" b="1" dirty="0" smtClean="0"/>
                            <a:t>Marchés monétaires</a:t>
                          </a:r>
                          <a:endParaRPr lang="fr-FR" sz="1600" b="1" dirty="0"/>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15" name="Groupe 14"/>
                      <a:cNvGrpSpPr/>
                    </a:nvGrpSpPr>
                    <a:grpSpPr>
                      <a:xfrm>
                        <a:off x="2627784" y="692696"/>
                        <a:ext cx="5904656" cy="1296144"/>
                        <a:chOff x="2627784" y="692696"/>
                        <a:chExt cx="5904656" cy="1296144"/>
                      </a:xfrm>
                    </a:grpSpPr>
                    <a:sp>
                      <a:nvSpPr>
                        <a:cNvPr id="5" name="Rectangle à coins arrondis 4"/>
                        <a:cNvSpPr/>
                      </a:nvSpPr>
                      <a:spPr>
                        <a:xfrm>
                          <a:off x="2627784" y="692696"/>
                          <a:ext cx="5904656" cy="612000"/>
                        </a:xfrm>
                        <a:prstGeom prst="roundRect">
                          <a:avLst/>
                        </a:prstGeom>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sz="1200" b="1" dirty="0" smtClean="0"/>
                              <a:t>Marché interbancaire : actifs financiers de court terme (1 jour à 1 an) réservés aux banques et institutions financières</a:t>
                            </a:r>
                            <a:endParaRPr lang="fr-FR" sz="1200"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6" name="Rectangle à coins arrondis 5"/>
                        <a:cNvSpPr/>
                      </a:nvSpPr>
                      <a:spPr>
                        <a:xfrm>
                          <a:off x="2627784" y="1376840"/>
                          <a:ext cx="5904656" cy="612000"/>
                        </a:xfrm>
                        <a:prstGeom prst="roundRect">
                          <a:avLst/>
                        </a:prstGeom>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sz="1200" b="1" dirty="0" smtClean="0"/>
                              <a:t>Marché des titres de créances négociables : actifs financiers de court terme (1 jour à 1 an) réservés aux banques, aux très grandes entreprises,  à l’</a:t>
                            </a:r>
                            <a:r>
                              <a:rPr lang="fr-FR" sz="1200" b="1" dirty="0" smtClean="0">
                                <a:latin typeface="Calibri"/>
                                <a:cs typeface="Calibri"/>
                              </a:rPr>
                              <a:t>É</a:t>
                            </a:r>
                            <a:r>
                              <a:rPr lang="fr-FR" sz="1200" b="1" dirty="0" smtClean="0"/>
                              <a:t>tat (billets de trésorerie, certificats de dépôts, bons du Trésor)</a:t>
                            </a:r>
                            <a:endParaRPr lang="fr-FR" sz="1200" b="1" dirty="0"/>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7" name="Rectangle à coins arrondis 6"/>
                      <a:cNvSpPr/>
                    </a:nvSpPr>
                    <a:spPr>
                      <a:xfrm>
                        <a:off x="539552" y="2204864"/>
                        <a:ext cx="1728192" cy="1296144"/>
                      </a:xfrm>
                      <a:prstGeom prst="roundRect">
                        <a:avLst/>
                      </a:prstGeom>
                      <a:solidFill>
                        <a:schemeClr val="accent3"/>
                      </a:solidFill>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sz="1600" b="1" dirty="0" smtClean="0"/>
                            <a:t>Marchés financiers au sens strict (Bourse)</a:t>
                          </a:r>
                          <a:endParaRPr lang="fr-FR" sz="1600" b="1" dirty="0"/>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16" name="Groupe 15"/>
                      <a:cNvGrpSpPr/>
                    </a:nvGrpSpPr>
                    <a:grpSpPr>
                      <a:xfrm>
                        <a:off x="2627784" y="2204864"/>
                        <a:ext cx="5904656" cy="1296144"/>
                        <a:chOff x="2627784" y="2240800"/>
                        <a:chExt cx="5904656" cy="1296144"/>
                      </a:xfrm>
                    </a:grpSpPr>
                    <a:sp>
                      <a:nvSpPr>
                        <a:cNvPr id="8" name="Rectangle à coins arrondis 7"/>
                        <a:cNvSpPr/>
                      </a:nvSpPr>
                      <a:spPr>
                        <a:xfrm>
                          <a:off x="2627784" y="2240800"/>
                          <a:ext cx="5904656" cy="612000"/>
                        </a:xfrm>
                        <a:prstGeom prst="roundRect">
                          <a:avLst/>
                        </a:prstGeom>
                        <a:solidFill>
                          <a:schemeClr val="accent3"/>
                        </a:solidFill>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sz="1200" b="1" dirty="0" smtClean="0"/>
                              <a:t>Marché des actions : titres de propriété des entreprises donnant droit au versement de dividendes pour leurs détenteurs</a:t>
                            </a:r>
                            <a:endParaRPr lang="fr-FR" sz="1200"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9" name="Rectangle à coins arrondis 8"/>
                        <a:cNvSpPr/>
                      </a:nvSpPr>
                      <a:spPr>
                        <a:xfrm>
                          <a:off x="2627784" y="2924944"/>
                          <a:ext cx="5904656" cy="612000"/>
                        </a:xfrm>
                        <a:prstGeom prst="roundRect">
                          <a:avLst/>
                        </a:prstGeom>
                        <a:solidFill>
                          <a:schemeClr val="accent3"/>
                        </a:solidFill>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sz="1200" b="1" dirty="0" smtClean="0"/>
                              <a:t>Marché des obligations : titres de créances  à moyen et long terme (5 à 30 ans en général)  émis par  des entreprises des banques ou </a:t>
                            </a:r>
                            <a:r>
                              <a:rPr lang="fr-FR" sz="1200" b="1" dirty="0" smtClean="0"/>
                              <a:t>l’</a:t>
                            </a:r>
                            <a:r>
                              <a:rPr lang="fr-FR" sz="1200" b="1" dirty="0">
                                <a:cs typeface="Calibri"/>
                              </a:rPr>
                              <a:t>É</a:t>
                            </a:r>
                            <a:r>
                              <a:rPr lang="fr-FR" sz="1200" b="1" dirty="0" smtClean="0"/>
                              <a:t>tat </a:t>
                            </a:r>
                            <a:r>
                              <a:rPr lang="fr-FR" sz="1200" b="1" dirty="0" smtClean="0"/>
                              <a:t>, donnant droit au versement d’intérêts pour leurs détenteurs</a:t>
                            </a:r>
                            <a:endParaRPr lang="fr-FR" sz="1200" b="1" dirty="0"/>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0" name="Rectangle à coins arrondis 9"/>
                      <a:cNvSpPr/>
                    </a:nvSpPr>
                    <a:spPr>
                      <a:xfrm>
                        <a:off x="539552" y="3717032"/>
                        <a:ext cx="1728192" cy="1296144"/>
                      </a:xfrm>
                      <a:prstGeom prst="roundRect">
                        <a:avLst/>
                      </a:prstGeom>
                      <a:solidFill>
                        <a:schemeClr val="accent6"/>
                      </a:solidFill>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sz="1600" b="1" dirty="0" smtClean="0"/>
                            <a:t>Marchés des produits dérivés</a:t>
                          </a:r>
                          <a:endParaRPr lang="fr-FR" sz="1600" b="1" dirty="0"/>
                        </a:p>
                      </a:txBody>
                      <a:useSpRect/>
                    </a:txSp>
                    <a:style>
                      <a:lnRef idx="2">
                        <a:schemeClr val="accent1">
                          <a:shade val="50000"/>
                        </a:schemeClr>
                      </a:lnRef>
                      <a:fillRef idx="1">
                        <a:schemeClr val="accent1"/>
                      </a:fillRef>
                      <a:effectRef idx="0">
                        <a:schemeClr val="accent1"/>
                      </a:effectRef>
                      <a:fontRef idx="minor">
                        <a:schemeClr val="lt1"/>
                      </a:fontRef>
                    </a:style>
                  </a:sp>
                  <a:grpSp>
                    <a:nvGrpSpPr>
                      <a:cNvPr id="17" name="Groupe 16"/>
                      <a:cNvGrpSpPr/>
                    </a:nvGrpSpPr>
                    <a:grpSpPr>
                      <a:xfrm>
                        <a:off x="2627784" y="3717032"/>
                        <a:ext cx="5904656" cy="1296144"/>
                        <a:chOff x="2627784" y="3824976"/>
                        <a:chExt cx="5904656" cy="1296144"/>
                      </a:xfrm>
                    </a:grpSpPr>
                    <a:sp>
                      <a:nvSpPr>
                        <a:cNvPr id="11" name="Rectangle à coins arrondis 10"/>
                        <a:cNvSpPr/>
                      </a:nvSpPr>
                      <a:spPr>
                        <a:xfrm>
                          <a:off x="2627784" y="3824976"/>
                          <a:ext cx="5904656" cy="612000"/>
                        </a:xfrm>
                        <a:prstGeom prst="roundRect">
                          <a:avLst/>
                        </a:prstGeom>
                        <a:solidFill>
                          <a:schemeClr val="accent6"/>
                        </a:solidFill>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sz="1200" b="1" dirty="0" smtClean="0"/>
                              <a:t>Les produits fermes correspondent à des engagements réels pris entre deux parties (obligation d’acheter ou de vendre). Parmi eux, on trouve plusieurs types de contrats : </a:t>
                            </a:r>
                            <a:r>
                              <a:rPr lang="fr-FR" sz="1200" b="1" dirty="0" err="1" smtClean="0"/>
                              <a:t>forwards</a:t>
                            </a:r>
                            <a:r>
                              <a:rPr lang="fr-FR" sz="1200" b="1" dirty="0" smtClean="0"/>
                              <a:t>, futures (contrats à terme), swaps, etc.</a:t>
                            </a:r>
                            <a:endParaRPr lang="fr-FR" sz="1200"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2" name="Rectangle à coins arrondis 11"/>
                        <a:cNvSpPr/>
                      </a:nvSpPr>
                      <a:spPr>
                        <a:xfrm>
                          <a:off x="2627784" y="4509120"/>
                          <a:ext cx="5904656" cy="612000"/>
                        </a:xfrm>
                        <a:prstGeom prst="roundRect">
                          <a:avLst/>
                        </a:prstGeom>
                        <a:solidFill>
                          <a:schemeClr val="accent6"/>
                        </a:solidFill>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sz="1200" b="1" dirty="0" smtClean="0"/>
                              <a:t>Les produits optionnels donnent le droit (mais pas l’obligation) d’acheter ou de vendre un actif sous-jacent à un prix fixé initialement. Parmi ces produits dérivés, figurent notamment les warrants et les options.</a:t>
                            </a:r>
                            <a:endParaRPr lang="fr-FR" sz="1200" b="1" dirty="0"/>
                          </a:p>
                        </a:txBody>
                        <a:useSpRect/>
                      </a:txSp>
                      <a:style>
                        <a:lnRef idx="2">
                          <a:schemeClr val="accent1">
                            <a:shade val="50000"/>
                          </a:schemeClr>
                        </a:lnRef>
                        <a:fillRef idx="1">
                          <a:schemeClr val="accent1"/>
                        </a:fillRef>
                        <a:effectRef idx="0">
                          <a:schemeClr val="accent1"/>
                        </a:effectRef>
                        <a:fontRef idx="minor">
                          <a:schemeClr val="lt1"/>
                        </a:fontRef>
                      </a:style>
                    </a:sp>
                  </a:grpSp>
                  <a:sp>
                    <a:nvSpPr>
                      <a:cNvPr id="13" name="Rectangle à coins arrondis 12"/>
                      <a:cNvSpPr/>
                    </a:nvSpPr>
                    <a:spPr>
                      <a:xfrm>
                        <a:off x="539552" y="5229200"/>
                        <a:ext cx="1728192" cy="1296144"/>
                      </a:xfrm>
                      <a:prstGeom prst="roundRect">
                        <a:avLst/>
                      </a:prstGeom>
                      <a:solidFill>
                        <a:schemeClr val="accent2"/>
                      </a:solidFill>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sz="1600" b="1" dirty="0" smtClean="0"/>
                            <a:t>Marché des changes</a:t>
                          </a:r>
                          <a:endParaRPr lang="fr-FR" sz="1600" b="1" dirty="0"/>
                        </a:p>
                      </a:txBody>
                      <a:useSpRect/>
                    </a:txSp>
                    <a:style>
                      <a:lnRef idx="2">
                        <a:schemeClr val="accent1">
                          <a:shade val="50000"/>
                        </a:schemeClr>
                      </a:lnRef>
                      <a:fillRef idx="1">
                        <a:schemeClr val="accent1"/>
                      </a:fillRef>
                      <a:effectRef idx="0">
                        <a:schemeClr val="accent1"/>
                      </a:effectRef>
                      <a:fontRef idx="minor">
                        <a:schemeClr val="lt1"/>
                      </a:fontRef>
                    </a:style>
                  </a:sp>
                  <a:sp>
                    <a:nvSpPr>
                      <a:cNvPr id="14" name="Rectangle à coins arrondis 13"/>
                      <a:cNvSpPr/>
                    </a:nvSpPr>
                    <a:spPr>
                      <a:xfrm>
                        <a:off x="2627784" y="5571272"/>
                        <a:ext cx="5904656" cy="612000"/>
                      </a:xfrm>
                      <a:prstGeom prst="roundRect">
                        <a:avLst/>
                      </a:prstGeom>
                      <a:solidFill>
                        <a:schemeClr val="accent2"/>
                      </a:solidFill>
                    </a:spPr>
                    <a:txSp>
                      <a:txBody>
                        <a:bodyPr rtlCol="0" anchor="ctr"/>
                        <a:lstStyle>
                          <a:defPPr>
                            <a:defRPr lang="fr-FR"/>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r>
                            <a:rPr lang="fr-FR" sz="1200" b="1" dirty="0" smtClean="0"/>
                            <a:t>Marché permettant d’échanger une devise contre une autre. Souvent appelé FOREX pour </a:t>
                          </a:r>
                          <a:r>
                            <a:rPr lang="fr-FR" sz="1200" b="1" dirty="0" err="1" smtClean="0"/>
                            <a:t>Foreign</a:t>
                          </a:r>
                          <a:r>
                            <a:rPr lang="fr-FR" sz="1200" b="1" dirty="0" smtClean="0"/>
                            <a:t> Exchange. Le prix auquel une devise s’échange contre une autre s’appelle le taux de change</a:t>
                          </a:r>
                          <a:endParaRPr lang="fr-FR" sz="1200" b="1" dirty="0"/>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inline>
        </w:drawing>
      </w:r>
    </w:p>
    <w:p w:rsidR="009E2FD8" w:rsidRDefault="009E2FD8" w:rsidP="0087584A"/>
    <w:p w:rsidR="0087584A" w:rsidRPr="00E53F43" w:rsidRDefault="009E2FD8" w:rsidP="009E2FD8">
      <w:pPr>
        <w:jc w:val="both"/>
        <w:rPr>
          <w:rFonts w:asciiTheme="minorHAnsi" w:hAnsiTheme="minorHAnsi" w:cstheme="minorHAnsi"/>
          <w:sz w:val="20"/>
          <w:szCs w:val="20"/>
        </w:rPr>
      </w:pPr>
      <w:r w:rsidRPr="00E53F43">
        <w:rPr>
          <w:rFonts w:asciiTheme="minorHAnsi" w:hAnsiTheme="minorHAnsi" w:cstheme="minorHAnsi"/>
          <w:sz w:val="20"/>
          <w:szCs w:val="20"/>
        </w:rPr>
        <w:t>Un produit dérivé est un contrat liant deux parties qui s'accordent sur le prix d'un actif sous-jacent dont le règlement s’effectuera plus tard. Cet actif sous-jacent peut être un titre financier, une devise, une matière première,…</w:t>
      </w:r>
    </w:p>
    <w:p w:rsidR="009E2FD8" w:rsidRPr="00E53F43" w:rsidRDefault="009E2FD8" w:rsidP="009E2FD8">
      <w:pPr>
        <w:jc w:val="both"/>
        <w:rPr>
          <w:rFonts w:asciiTheme="minorHAnsi" w:hAnsiTheme="minorHAnsi" w:cstheme="minorHAnsi"/>
          <w:sz w:val="20"/>
          <w:szCs w:val="20"/>
        </w:rPr>
      </w:pPr>
      <w:r w:rsidRPr="00E53F43">
        <w:rPr>
          <w:rFonts w:asciiTheme="minorHAnsi" w:hAnsiTheme="minorHAnsi" w:cstheme="minorHAnsi"/>
          <w:sz w:val="20"/>
          <w:szCs w:val="20"/>
        </w:rPr>
        <w:t>Les produits dérivés peuvent être utilisés dans 3 stratégies différentes.</w:t>
      </w:r>
    </w:p>
    <w:p w:rsidR="009E2FD8" w:rsidRPr="00E53F43" w:rsidRDefault="009E2FD8" w:rsidP="0016103B">
      <w:pPr>
        <w:pStyle w:val="Paragraphedeliste"/>
        <w:numPr>
          <w:ilvl w:val="0"/>
          <w:numId w:val="8"/>
        </w:numPr>
        <w:jc w:val="both"/>
        <w:rPr>
          <w:rFonts w:asciiTheme="minorHAnsi" w:hAnsiTheme="minorHAnsi" w:cstheme="minorHAnsi"/>
          <w:sz w:val="20"/>
          <w:szCs w:val="20"/>
        </w:rPr>
      </w:pPr>
      <w:r w:rsidRPr="00E53F43">
        <w:rPr>
          <w:rFonts w:asciiTheme="minorHAnsi" w:eastAsiaTheme="majorEastAsia" w:hAnsiTheme="minorHAnsi" w:cstheme="minorHAnsi"/>
          <w:b/>
          <w:sz w:val="20"/>
          <w:szCs w:val="20"/>
        </w:rPr>
        <w:t>Le hedging (couverture)</w:t>
      </w:r>
      <w:r w:rsidRPr="00E53F43">
        <w:rPr>
          <w:rFonts w:asciiTheme="minorHAnsi" w:eastAsiaTheme="majorEastAsia" w:hAnsiTheme="minorHAnsi" w:cstheme="minorHAnsi"/>
          <w:sz w:val="20"/>
          <w:szCs w:val="20"/>
        </w:rPr>
        <w:t xml:space="preserve"> </w:t>
      </w:r>
      <w:r w:rsidRPr="00E53F43">
        <w:rPr>
          <w:rFonts w:asciiTheme="minorHAnsi" w:hAnsiTheme="minorHAnsi" w:cstheme="minorHAnsi"/>
          <w:sz w:val="20"/>
          <w:szCs w:val="20"/>
        </w:rPr>
        <w:t>: pour l’investisseur, il s’agit de se protéger contre les fluctuations du prix du sous-jacent afin de limiter les pertes encourues en cas de fluctuation négative du prix.</w:t>
      </w:r>
    </w:p>
    <w:p w:rsidR="009E2FD8" w:rsidRPr="00E53F43" w:rsidRDefault="009E2FD8" w:rsidP="0016103B">
      <w:pPr>
        <w:pStyle w:val="Paragraphedeliste"/>
        <w:numPr>
          <w:ilvl w:val="0"/>
          <w:numId w:val="8"/>
        </w:numPr>
        <w:jc w:val="both"/>
        <w:rPr>
          <w:rFonts w:asciiTheme="minorHAnsi" w:hAnsiTheme="minorHAnsi" w:cstheme="minorHAnsi"/>
          <w:sz w:val="20"/>
          <w:szCs w:val="20"/>
        </w:rPr>
      </w:pPr>
      <w:r w:rsidRPr="00E53F43">
        <w:rPr>
          <w:rFonts w:asciiTheme="minorHAnsi" w:eastAsiaTheme="majorEastAsia" w:hAnsiTheme="minorHAnsi" w:cstheme="minorHAnsi"/>
          <w:b/>
          <w:sz w:val="20"/>
          <w:szCs w:val="20"/>
        </w:rPr>
        <w:t>Spéculation :</w:t>
      </w:r>
      <w:r w:rsidRPr="00E53F43">
        <w:rPr>
          <w:rFonts w:asciiTheme="minorHAnsi" w:hAnsiTheme="minorHAnsi" w:cstheme="minorHAnsi"/>
          <w:sz w:val="20"/>
          <w:szCs w:val="20"/>
        </w:rPr>
        <w:t xml:space="preserve"> l’évolution du prix du sous-jacent peut-être amplifiée à la hausse ou à la baisse grâce à l’effet de levier. En effet, la mise de fonds initiale, par exemple l’achat d’options, mobilise un montant moins élevé que si le sous-jacent était acheté en direct. Les perspectives de gain (ou de perte) sont donc importantes. </w:t>
      </w:r>
    </w:p>
    <w:p w:rsidR="009E2FD8" w:rsidRPr="00E53F43" w:rsidRDefault="009E2FD8" w:rsidP="0016103B">
      <w:pPr>
        <w:pStyle w:val="Paragraphedeliste"/>
        <w:numPr>
          <w:ilvl w:val="0"/>
          <w:numId w:val="8"/>
        </w:numPr>
        <w:jc w:val="both"/>
        <w:rPr>
          <w:rFonts w:asciiTheme="minorHAnsi" w:hAnsiTheme="minorHAnsi" w:cstheme="minorHAnsi"/>
          <w:sz w:val="20"/>
          <w:szCs w:val="20"/>
        </w:rPr>
      </w:pPr>
      <w:r w:rsidRPr="00E53F43">
        <w:rPr>
          <w:rFonts w:asciiTheme="minorHAnsi" w:eastAsiaTheme="majorEastAsia" w:hAnsiTheme="minorHAnsi" w:cstheme="minorHAnsi"/>
          <w:b/>
          <w:sz w:val="20"/>
          <w:szCs w:val="20"/>
        </w:rPr>
        <w:t>Arbitrage :</w:t>
      </w:r>
      <w:r w:rsidRPr="00E53F43">
        <w:rPr>
          <w:rFonts w:asciiTheme="minorHAnsi" w:eastAsiaTheme="majorEastAsia" w:hAnsiTheme="minorHAnsi" w:cstheme="minorHAnsi"/>
          <w:sz w:val="20"/>
          <w:szCs w:val="20"/>
        </w:rPr>
        <w:t xml:space="preserve"> </w:t>
      </w:r>
      <w:r w:rsidRPr="00E53F43">
        <w:rPr>
          <w:rFonts w:asciiTheme="minorHAnsi" w:hAnsiTheme="minorHAnsi" w:cstheme="minorHAnsi"/>
          <w:sz w:val="20"/>
          <w:szCs w:val="20"/>
        </w:rPr>
        <w:t>il s’agit d’acheter un produit dérivé sur un marché et de le revendre simultanément sur un autre afin de tirer profit des variations des écarts de valorisation ou de change. On pourra notamment tirer partie des écarts de change si le sous-jacent est coté sur plusieurs places financières.</w:t>
      </w:r>
    </w:p>
    <w:p w:rsidR="009E2FD8" w:rsidRDefault="009E2FD8" w:rsidP="0087584A">
      <w:pPr>
        <w:rPr>
          <w:rFonts w:asciiTheme="minorHAnsi" w:hAnsiTheme="minorHAnsi" w:cstheme="minorHAnsi"/>
        </w:rPr>
      </w:pPr>
    </w:p>
    <w:p w:rsidR="009E2FD8" w:rsidRPr="00E53F43" w:rsidRDefault="00E53F43" w:rsidP="00E53F43">
      <w:pPr>
        <w:jc w:val="right"/>
        <w:rPr>
          <w:rFonts w:asciiTheme="minorHAnsi" w:hAnsiTheme="minorHAnsi" w:cstheme="minorHAnsi"/>
          <w:i/>
          <w:sz w:val="20"/>
          <w:szCs w:val="20"/>
        </w:rPr>
      </w:pPr>
      <w:r w:rsidRPr="00E53F43">
        <w:rPr>
          <w:rFonts w:asciiTheme="minorHAnsi" w:hAnsiTheme="minorHAnsi" w:cstheme="minorHAnsi"/>
          <w:i/>
          <w:sz w:val="20"/>
          <w:szCs w:val="20"/>
        </w:rPr>
        <w:t>B. Déchamps</w:t>
      </w:r>
    </w:p>
    <w:p w:rsidR="009E2FD8" w:rsidRPr="0087584A" w:rsidRDefault="009E2FD8" w:rsidP="0087584A">
      <w:pPr>
        <w:rPr>
          <w:rFonts w:asciiTheme="minorHAnsi" w:hAnsiTheme="minorHAnsi" w:cstheme="minorHAnsi"/>
        </w:rPr>
      </w:pPr>
    </w:p>
    <w:p w:rsidR="0087584A" w:rsidRPr="0087584A" w:rsidRDefault="00E53F43" w:rsidP="0016103B">
      <w:pPr>
        <w:pStyle w:val="Paragraphedeliste"/>
        <w:numPr>
          <w:ilvl w:val="0"/>
          <w:numId w:val="3"/>
        </w:numPr>
        <w:jc w:val="both"/>
        <w:rPr>
          <w:rFonts w:asciiTheme="minorHAnsi" w:hAnsiTheme="minorHAnsi" w:cstheme="minorHAnsi"/>
        </w:rPr>
      </w:pPr>
      <w:r>
        <w:rPr>
          <w:rFonts w:asciiTheme="minorHAnsi" w:hAnsiTheme="minorHAnsi" w:cstheme="minorHAnsi"/>
        </w:rPr>
        <w:t>Quelles différences voyez-vous entre les marchés monétaires et les marchés financiers au sens strict ?</w:t>
      </w:r>
    </w:p>
    <w:p w:rsidR="0087584A" w:rsidRPr="0087584A" w:rsidRDefault="0087584A" w:rsidP="0016103B">
      <w:pPr>
        <w:pStyle w:val="Paragraphedeliste"/>
        <w:numPr>
          <w:ilvl w:val="0"/>
          <w:numId w:val="3"/>
        </w:numPr>
        <w:jc w:val="both"/>
        <w:rPr>
          <w:rFonts w:asciiTheme="minorHAnsi" w:hAnsiTheme="minorHAnsi" w:cstheme="minorHAnsi"/>
        </w:rPr>
      </w:pPr>
      <w:r w:rsidRPr="0087584A">
        <w:rPr>
          <w:rFonts w:asciiTheme="minorHAnsi" w:hAnsiTheme="minorHAnsi" w:cstheme="minorHAnsi"/>
        </w:rPr>
        <w:t>Qu'est-ce qu'un titre de créance ?</w:t>
      </w:r>
    </w:p>
    <w:p w:rsidR="0087584A" w:rsidRDefault="0087584A" w:rsidP="0016103B">
      <w:pPr>
        <w:pStyle w:val="Paragraphedeliste"/>
        <w:numPr>
          <w:ilvl w:val="0"/>
          <w:numId w:val="3"/>
        </w:numPr>
        <w:jc w:val="both"/>
        <w:rPr>
          <w:rFonts w:asciiTheme="minorHAnsi" w:hAnsiTheme="minorHAnsi" w:cstheme="minorHAnsi"/>
        </w:rPr>
      </w:pPr>
      <w:r w:rsidRPr="0087584A">
        <w:rPr>
          <w:rFonts w:asciiTheme="minorHAnsi" w:hAnsiTheme="minorHAnsi" w:cstheme="minorHAnsi"/>
        </w:rPr>
        <w:t>Qu'est-ce qui différencie une action d'une obligation ?</w:t>
      </w:r>
    </w:p>
    <w:p w:rsidR="00E53F43" w:rsidRDefault="00E53F43" w:rsidP="0016103B">
      <w:pPr>
        <w:pStyle w:val="Paragraphedeliste"/>
        <w:numPr>
          <w:ilvl w:val="0"/>
          <w:numId w:val="3"/>
        </w:numPr>
        <w:jc w:val="both"/>
        <w:rPr>
          <w:rFonts w:asciiTheme="minorHAnsi" w:hAnsiTheme="minorHAnsi" w:cstheme="minorHAnsi"/>
        </w:rPr>
      </w:pPr>
      <w:r>
        <w:rPr>
          <w:rFonts w:asciiTheme="minorHAnsi" w:hAnsiTheme="minorHAnsi" w:cstheme="minorHAnsi"/>
        </w:rPr>
        <w:t>Qu’est-ce qui différencie les deux grands types de marchés dérivés ?</w:t>
      </w:r>
    </w:p>
    <w:p w:rsidR="00E53F43" w:rsidRPr="0087584A" w:rsidRDefault="00E53F43" w:rsidP="0016103B">
      <w:pPr>
        <w:pStyle w:val="Paragraphedeliste"/>
        <w:numPr>
          <w:ilvl w:val="0"/>
          <w:numId w:val="3"/>
        </w:numPr>
        <w:jc w:val="both"/>
        <w:rPr>
          <w:rFonts w:asciiTheme="minorHAnsi" w:hAnsiTheme="minorHAnsi" w:cstheme="minorHAnsi"/>
        </w:rPr>
      </w:pPr>
      <w:r>
        <w:rPr>
          <w:rFonts w:asciiTheme="minorHAnsi" w:hAnsiTheme="minorHAnsi" w:cstheme="minorHAnsi"/>
        </w:rPr>
        <w:t>À quoi servent les produits dérivés ?</w:t>
      </w:r>
    </w:p>
    <w:p w:rsidR="0087584A" w:rsidRPr="0087584A" w:rsidRDefault="0087584A" w:rsidP="0087584A">
      <w:pPr>
        <w:rPr>
          <w:rFonts w:asciiTheme="minorHAnsi" w:hAnsiTheme="minorHAnsi" w:cstheme="minorHAnsi"/>
        </w:rPr>
      </w:pPr>
    </w:p>
    <w:p w:rsidR="0087584A" w:rsidRPr="0087584A" w:rsidRDefault="0087584A" w:rsidP="0087584A">
      <w:pPr>
        <w:rPr>
          <w:rFonts w:asciiTheme="minorHAnsi" w:hAnsiTheme="minorHAnsi" w:cstheme="minorHAnsi"/>
        </w:rPr>
      </w:pPr>
    </w:p>
    <w:p w:rsidR="00E53F43" w:rsidRDefault="00E53F43">
      <w:pPr>
        <w:spacing w:after="200" w:line="276" w:lineRule="auto"/>
        <w:rPr>
          <w:rFonts w:asciiTheme="minorHAnsi" w:hAnsiTheme="minorHAnsi" w:cstheme="minorHAnsi"/>
        </w:rPr>
      </w:pPr>
      <w:r>
        <w:rPr>
          <w:rFonts w:asciiTheme="minorHAnsi" w:hAnsiTheme="minorHAnsi" w:cstheme="minorHAnsi"/>
        </w:rPr>
        <w:br w:type="page"/>
      </w:r>
    </w:p>
    <w:p w:rsidR="0087584A" w:rsidRPr="0087584A" w:rsidRDefault="0087584A" w:rsidP="0087584A">
      <w:pPr>
        <w:rPr>
          <w:rFonts w:asciiTheme="minorHAnsi" w:hAnsiTheme="minorHAnsi" w:cstheme="minorHAnsi"/>
        </w:rPr>
      </w:pPr>
      <w:r w:rsidRPr="0087584A">
        <w:rPr>
          <w:rFonts w:asciiTheme="minorHAnsi" w:hAnsiTheme="minorHAnsi" w:cstheme="minorHAnsi"/>
        </w:rPr>
        <w:lastRenderedPageBreak/>
        <w:t>Document 4 : Marché primaire et marché secondaire : des fonctions indissociables</w:t>
      </w:r>
    </w:p>
    <w:p w:rsidR="0087584A" w:rsidRPr="0087584A" w:rsidRDefault="0087584A" w:rsidP="0087584A">
      <w:pPr>
        <w:rPr>
          <w:rFonts w:asciiTheme="minorHAnsi" w:hAnsiTheme="minorHAnsi" w:cstheme="minorHAnsi"/>
        </w:rPr>
      </w:pPr>
    </w:p>
    <w:p w:rsidR="0087584A" w:rsidRPr="0087584A" w:rsidRDefault="0087584A" w:rsidP="0087584A">
      <w:pPr>
        <w:jc w:val="both"/>
        <w:rPr>
          <w:rFonts w:asciiTheme="minorHAnsi" w:hAnsiTheme="minorHAnsi" w:cstheme="minorHAnsi"/>
        </w:rPr>
      </w:pPr>
      <w:r w:rsidRPr="0087584A">
        <w:rPr>
          <w:rFonts w:asciiTheme="minorHAnsi" w:hAnsiTheme="minorHAnsi" w:cstheme="minorHAnsi"/>
        </w:rPr>
        <w:t>[Sur Les marchés de capitaux] l'existence d'un marché primaire et d'un marché secondaire permet de concilier les préférences des épargnants et des emprunteurs en matière de durée de l'opération. Les seconds peuvent lever des fonds à moyen ou long terme sur le marché primaire par l'émission de titres tandis que les premiers peuvent en permanence revendre leurs titres sur le marché secondaire, qui assure ainsi la liquidité des fonds investis. La Bourse constitue donc une alternative aux financements bancaires (crédits) : elle garantit le financement de l'économie ainsi que la mobilité et la liquidité de l'épargne. Elle permet de plus aux emprunteurs de conserver leur indépendance vis-à-vis des banques.</w:t>
      </w:r>
    </w:p>
    <w:p w:rsidR="00A430D6" w:rsidRDefault="00A430D6" w:rsidP="0087584A">
      <w:pPr>
        <w:jc w:val="right"/>
        <w:rPr>
          <w:rFonts w:asciiTheme="minorHAnsi" w:hAnsiTheme="minorHAnsi" w:cstheme="minorHAnsi"/>
          <w:i/>
          <w:sz w:val="20"/>
          <w:szCs w:val="20"/>
        </w:rPr>
      </w:pPr>
    </w:p>
    <w:p w:rsidR="0087584A" w:rsidRPr="00A430D6" w:rsidRDefault="0087584A" w:rsidP="0087584A">
      <w:pPr>
        <w:jc w:val="right"/>
        <w:rPr>
          <w:rFonts w:asciiTheme="minorHAnsi" w:hAnsiTheme="minorHAnsi" w:cstheme="minorHAnsi"/>
          <w:i/>
          <w:sz w:val="20"/>
          <w:szCs w:val="20"/>
        </w:rPr>
      </w:pPr>
      <w:r w:rsidRPr="00A430D6">
        <w:rPr>
          <w:rFonts w:asciiTheme="minorHAnsi" w:hAnsiTheme="minorHAnsi" w:cstheme="minorHAnsi"/>
          <w:i/>
          <w:sz w:val="20"/>
          <w:szCs w:val="20"/>
        </w:rPr>
        <w:t>Daniel Goyeau et Aminé Tarazi, « Qu'est-ce que La Bourse ? », Les Cahiers français n°361, mars-avril 2011.</w:t>
      </w:r>
    </w:p>
    <w:p w:rsidR="0087584A" w:rsidRPr="0087584A" w:rsidRDefault="0087584A" w:rsidP="0087584A">
      <w:pPr>
        <w:rPr>
          <w:rFonts w:asciiTheme="minorHAnsi" w:hAnsiTheme="minorHAnsi" w:cstheme="minorHAnsi"/>
        </w:rPr>
      </w:pPr>
    </w:p>
    <w:p w:rsidR="0087584A" w:rsidRPr="0087584A" w:rsidRDefault="0087584A" w:rsidP="0016103B">
      <w:pPr>
        <w:pStyle w:val="Paragraphedeliste"/>
        <w:numPr>
          <w:ilvl w:val="0"/>
          <w:numId w:val="4"/>
        </w:numPr>
        <w:rPr>
          <w:rFonts w:asciiTheme="minorHAnsi" w:hAnsiTheme="minorHAnsi" w:cstheme="minorHAnsi"/>
        </w:rPr>
      </w:pPr>
      <w:r w:rsidRPr="0087584A">
        <w:rPr>
          <w:rFonts w:asciiTheme="minorHAnsi" w:hAnsiTheme="minorHAnsi" w:cstheme="minorHAnsi"/>
        </w:rPr>
        <w:t>Expliquez la différence entre marché primaire et marché secondaire.</w:t>
      </w:r>
      <w:r w:rsidRPr="0087584A">
        <w:rPr>
          <w:rFonts w:asciiTheme="minorHAnsi" w:hAnsiTheme="minorHAnsi" w:cstheme="minorHAnsi"/>
        </w:rPr>
        <w:br/>
        <w:t>Précisez pourquoi on a coutume d'appeler le marché primaire « le marché du neuf ».</w:t>
      </w:r>
    </w:p>
    <w:p w:rsidR="0087584A" w:rsidRPr="0087584A" w:rsidRDefault="0087584A" w:rsidP="0016103B">
      <w:pPr>
        <w:pStyle w:val="Paragraphedeliste"/>
        <w:numPr>
          <w:ilvl w:val="0"/>
          <w:numId w:val="4"/>
        </w:numPr>
        <w:rPr>
          <w:rFonts w:asciiTheme="minorHAnsi" w:hAnsiTheme="minorHAnsi" w:cstheme="minorHAnsi"/>
        </w:rPr>
      </w:pPr>
      <w:r w:rsidRPr="0087584A">
        <w:rPr>
          <w:rFonts w:asciiTheme="minorHAnsi" w:hAnsiTheme="minorHAnsi" w:cstheme="minorHAnsi"/>
        </w:rPr>
        <w:t>Justifiez le titre du document.</w:t>
      </w:r>
    </w:p>
    <w:p w:rsidR="0087584A" w:rsidRPr="0087584A" w:rsidRDefault="0087584A" w:rsidP="0087584A">
      <w:pPr>
        <w:rPr>
          <w:rFonts w:asciiTheme="minorHAnsi" w:hAnsiTheme="minorHAnsi" w:cstheme="minorHAnsi"/>
        </w:rPr>
      </w:pPr>
    </w:p>
    <w:p w:rsidR="0087584A" w:rsidRPr="0087584A" w:rsidRDefault="0087584A" w:rsidP="0087584A">
      <w:pPr>
        <w:rPr>
          <w:rFonts w:asciiTheme="minorHAnsi" w:hAnsiTheme="minorHAnsi" w:cstheme="minorHAnsi"/>
        </w:rPr>
      </w:pPr>
    </w:p>
    <w:p w:rsidR="00A430D6" w:rsidRDefault="00A430D6">
      <w:pPr>
        <w:spacing w:after="200" w:line="276" w:lineRule="auto"/>
        <w:rPr>
          <w:rFonts w:asciiTheme="minorHAnsi" w:hAnsiTheme="minorHAnsi" w:cstheme="minorHAnsi"/>
        </w:rPr>
      </w:pPr>
      <w:r>
        <w:rPr>
          <w:rFonts w:asciiTheme="minorHAnsi" w:hAnsiTheme="minorHAnsi" w:cstheme="minorHAnsi"/>
        </w:rPr>
        <w:br w:type="page"/>
      </w:r>
    </w:p>
    <w:p w:rsidR="0087584A" w:rsidRPr="0087584A" w:rsidRDefault="0087584A" w:rsidP="0087584A">
      <w:pPr>
        <w:rPr>
          <w:rFonts w:asciiTheme="minorHAnsi" w:hAnsiTheme="minorHAnsi" w:cstheme="minorHAnsi"/>
        </w:rPr>
      </w:pPr>
      <w:r w:rsidRPr="0087584A">
        <w:rPr>
          <w:rFonts w:asciiTheme="minorHAnsi" w:hAnsiTheme="minorHAnsi" w:cstheme="minorHAnsi"/>
        </w:rPr>
        <w:lastRenderedPageBreak/>
        <w:t>Document 5 : Le marché des changes : un marché à part</w:t>
      </w:r>
    </w:p>
    <w:p w:rsidR="0087584A" w:rsidRPr="0087584A" w:rsidRDefault="0087584A" w:rsidP="0087584A">
      <w:pPr>
        <w:rPr>
          <w:rFonts w:asciiTheme="minorHAnsi" w:hAnsiTheme="minorHAnsi" w:cstheme="minorHAnsi"/>
        </w:rPr>
      </w:pPr>
    </w:p>
    <w:p w:rsidR="0087584A" w:rsidRPr="0087584A" w:rsidRDefault="0087584A" w:rsidP="0087584A">
      <w:pPr>
        <w:jc w:val="both"/>
        <w:rPr>
          <w:rFonts w:asciiTheme="minorHAnsi" w:hAnsiTheme="minorHAnsi" w:cstheme="minorHAnsi"/>
        </w:rPr>
      </w:pPr>
      <w:r w:rsidRPr="0087584A">
        <w:rPr>
          <w:rFonts w:asciiTheme="minorHAnsi" w:hAnsiTheme="minorHAnsi" w:cstheme="minorHAnsi"/>
        </w:rPr>
        <w:t>Le marché des changes est un cas à part à bien des égards. Il est rarement classé parmi les marchés de capitaux car, contrairement à ceux-ci, il n'est pas un marché qui assure le financement de l'économie entre des agents à besoin et à capacité de financement. Si, sur les marchés de capitaux, des euros ou d'autres monnaies sont prêtés et empruntés, sur le marché des changes, la monnaie est vendue et achetée contre des devises.</w:t>
      </w:r>
    </w:p>
    <w:p w:rsidR="0087584A" w:rsidRPr="0087584A" w:rsidRDefault="0087584A" w:rsidP="0087584A">
      <w:pPr>
        <w:jc w:val="both"/>
        <w:rPr>
          <w:rFonts w:asciiTheme="minorHAnsi" w:hAnsiTheme="minorHAnsi" w:cstheme="minorHAnsi"/>
        </w:rPr>
      </w:pPr>
      <w:r w:rsidRPr="0087584A">
        <w:rPr>
          <w:rFonts w:asciiTheme="minorHAnsi" w:hAnsiTheme="minorHAnsi" w:cstheme="minorHAnsi"/>
        </w:rPr>
        <w:t xml:space="preserve">Le marché des changes, appelé aussi Forex (en référence à l'anglicisme Foreign Exchange), est le marché qui réunit les agents économiques désirant transformer leurs actifs financiers libellés dans une devise en un actif financier libellé dans une autre devise. Il a pour fonction d'assurer la liquidité des marchés existants. En effet, si un titre financier étranger libellé dans une autre devise est liquide, c'est justement parce que son détenteur sait qu'il aura la possibilité lors de sa revente de récupérer son investissement en convertissant cette somme en monnaie nationale. </w:t>
      </w:r>
    </w:p>
    <w:p w:rsidR="0087584A" w:rsidRPr="0087584A" w:rsidRDefault="0087584A" w:rsidP="0087584A">
      <w:pPr>
        <w:jc w:val="both"/>
        <w:rPr>
          <w:rFonts w:asciiTheme="minorHAnsi" w:hAnsiTheme="minorHAnsi" w:cstheme="minorHAnsi"/>
        </w:rPr>
      </w:pPr>
      <w:r w:rsidRPr="0087584A">
        <w:rPr>
          <w:rFonts w:asciiTheme="minorHAnsi" w:hAnsiTheme="minorHAnsi" w:cstheme="minorHAnsi"/>
        </w:rPr>
        <w:t>Ce marché Forex est donc particulier à double titre. Non seulement le marché des changes n'assure pas le financement des agents, mais surtout c'est un marché de gros réservé à des opérateurs professionnels, appelés cambistes, qui jouent sur des montants très importants. Sur ce marché, les cambistes subissent un risque de change, lié aux variations des valeurs des monnaies les unes par rapport aux autres. C'est aussi cette volatilité extrême qui permet aux arbitragistes (ceux qui tirent profit des différences de cotation des devises) de s'enrichir. Par exemple, on peut s'enrichir en échangeant ses euros contre des dollars, de façon à les revendre contre des yens qui seront ensuite convertis en euros. Au final on peut réaliser une plus-value par le jeu du change du fait des différences de cotation des taux de change entre les devises internationales sur les différentes places boursières. L'accélération de la mondialisation des échanges réels ainsi que des flux financiers a donné un rôle prépondérant au marché des devises. La récente crise des dettes souveraines</w:t>
      </w:r>
      <w:r w:rsidRPr="0087584A">
        <w:rPr>
          <w:rFonts w:asciiTheme="minorHAnsi" w:hAnsiTheme="minorHAnsi" w:cstheme="minorHAnsi"/>
          <w:vertAlign w:val="superscript"/>
        </w:rPr>
        <w:t>1</w:t>
      </w:r>
      <w:r w:rsidRPr="0087584A">
        <w:rPr>
          <w:rFonts w:asciiTheme="minorHAnsi" w:hAnsiTheme="minorHAnsi" w:cstheme="minorHAnsi"/>
        </w:rPr>
        <w:t xml:space="preserve"> est là pour en témoigner.</w:t>
      </w:r>
    </w:p>
    <w:p w:rsidR="0087584A" w:rsidRPr="0087584A" w:rsidRDefault="0087584A" w:rsidP="0087584A">
      <w:pPr>
        <w:rPr>
          <w:rFonts w:asciiTheme="minorHAnsi" w:hAnsiTheme="minorHAnsi" w:cstheme="minorHAnsi"/>
        </w:rPr>
      </w:pPr>
    </w:p>
    <w:p w:rsidR="0087584A" w:rsidRPr="00A430D6" w:rsidRDefault="0087584A" w:rsidP="0087584A">
      <w:pPr>
        <w:rPr>
          <w:rFonts w:asciiTheme="minorHAnsi" w:hAnsiTheme="minorHAnsi" w:cstheme="minorHAnsi"/>
          <w:sz w:val="16"/>
          <w:szCs w:val="16"/>
        </w:rPr>
      </w:pPr>
      <w:r w:rsidRPr="00A430D6">
        <w:rPr>
          <w:rFonts w:asciiTheme="minorHAnsi" w:hAnsiTheme="minorHAnsi" w:cstheme="minorHAnsi"/>
          <w:sz w:val="16"/>
          <w:szCs w:val="16"/>
        </w:rPr>
        <w:t>1. La dette souveraine désigne la dette des administrations publiques (il s'agit alors de la dette publique) et des Banques centrales.</w:t>
      </w:r>
    </w:p>
    <w:p w:rsidR="00A430D6" w:rsidRDefault="00A430D6" w:rsidP="0087584A">
      <w:pPr>
        <w:jc w:val="right"/>
        <w:rPr>
          <w:rFonts w:asciiTheme="minorHAnsi" w:hAnsiTheme="minorHAnsi" w:cstheme="minorHAnsi"/>
          <w:i/>
        </w:rPr>
      </w:pPr>
    </w:p>
    <w:p w:rsidR="0087584A" w:rsidRPr="00A430D6" w:rsidRDefault="0087584A" w:rsidP="0087584A">
      <w:pPr>
        <w:jc w:val="right"/>
        <w:rPr>
          <w:rFonts w:asciiTheme="minorHAnsi" w:hAnsiTheme="minorHAnsi" w:cstheme="minorHAnsi"/>
          <w:i/>
          <w:sz w:val="20"/>
          <w:szCs w:val="20"/>
        </w:rPr>
      </w:pPr>
      <w:r w:rsidRPr="00A430D6">
        <w:rPr>
          <w:rFonts w:asciiTheme="minorHAnsi" w:hAnsiTheme="minorHAnsi" w:cstheme="minorHAnsi"/>
          <w:i/>
          <w:sz w:val="20"/>
          <w:szCs w:val="20"/>
        </w:rPr>
        <w:t>Nicolas Barbaroux et Gilles Jacoud, « Un panorama des différents marchés de capitaux », Les Cahiers français, n°361, mars-avril 2011.</w:t>
      </w:r>
    </w:p>
    <w:p w:rsidR="0087584A" w:rsidRPr="0087584A" w:rsidRDefault="0087584A" w:rsidP="0087584A">
      <w:pPr>
        <w:rPr>
          <w:rFonts w:asciiTheme="minorHAnsi" w:hAnsiTheme="minorHAnsi" w:cstheme="minorHAnsi"/>
        </w:rPr>
      </w:pPr>
    </w:p>
    <w:p w:rsidR="0087584A" w:rsidRPr="0087584A" w:rsidRDefault="0087584A" w:rsidP="0087584A">
      <w:pPr>
        <w:jc w:val="center"/>
        <w:rPr>
          <w:rFonts w:asciiTheme="minorHAnsi" w:hAnsiTheme="minorHAnsi" w:cstheme="minorHAnsi"/>
        </w:rPr>
      </w:pPr>
      <w:r w:rsidRPr="0087584A">
        <w:rPr>
          <w:rFonts w:asciiTheme="minorHAnsi" w:hAnsiTheme="minorHAnsi" w:cstheme="minorHAnsi"/>
        </w:rPr>
        <w:t>Montant des transactions quotidiennes sur le marché des changes (milliards de dollars)</w:t>
      </w:r>
    </w:p>
    <w:tbl>
      <w:tblPr>
        <w:tblStyle w:val="Grilledutableau"/>
        <w:tblW w:w="0" w:type="auto"/>
        <w:jc w:val="center"/>
        <w:tblLook w:val="04A0"/>
      </w:tblPr>
      <w:tblGrid>
        <w:gridCol w:w="855"/>
        <w:gridCol w:w="855"/>
        <w:gridCol w:w="855"/>
        <w:gridCol w:w="854"/>
        <w:gridCol w:w="854"/>
        <w:gridCol w:w="854"/>
        <w:gridCol w:w="854"/>
        <w:gridCol w:w="854"/>
        <w:gridCol w:w="855"/>
        <w:gridCol w:w="855"/>
        <w:gridCol w:w="743"/>
      </w:tblGrid>
      <w:tr w:rsidR="0087584A" w:rsidRPr="00A430D6" w:rsidTr="00A430D6">
        <w:trPr>
          <w:jc w:val="center"/>
        </w:trPr>
        <w:tc>
          <w:tcPr>
            <w:tcW w:w="855" w:type="dxa"/>
          </w:tcPr>
          <w:p w:rsidR="0087584A" w:rsidRPr="00A430D6" w:rsidRDefault="0087584A" w:rsidP="00EC51E5">
            <w:pPr>
              <w:jc w:val="center"/>
              <w:rPr>
                <w:rFonts w:asciiTheme="minorHAnsi" w:hAnsiTheme="minorHAnsi" w:cstheme="minorHAnsi"/>
              </w:rPr>
            </w:pPr>
            <w:r w:rsidRPr="00A430D6">
              <w:rPr>
                <w:rFonts w:asciiTheme="minorHAnsi" w:hAnsiTheme="minorHAnsi" w:cstheme="minorHAnsi"/>
              </w:rPr>
              <w:t>Avril 1989</w:t>
            </w:r>
          </w:p>
        </w:tc>
        <w:tc>
          <w:tcPr>
            <w:tcW w:w="855" w:type="dxa"/>
          </w:tcPr>
          <w:p w:rsidR="0087584A" w:rsidRPr="00A430D6" w:rsidRDefault="0087584A" w:rsidP="00EC51E5">
            <w:pPr>
              <w:jc w:val="center"/>
              <w:rPr>
                <w:rFonts w:asciiTheme="minorHAnsi" w:hAnsiTheme="minorHAnsi" w:cstheme="minorHAnsi"/>
              </w:rPr>
            </w:pPr>
            <w:r w:rsidRPr="00A430D6">
              <w:rPr>
                <w:rFonts w:asciiTheme="minorHAnsi" w:hAnsiTheme="minorHAnsi" w:cstheme="minorHAnsi"/>
              </w:rPr>
              <w:t>Avril 1992</w:t>
            </w:r>
          </w:p>
        </w:tc>
        <w:tc>
          <w:tcPr>
            <w:tcW w:w="855" w:type="dxa"/>
          </w:tcPr>
          <w:p w:rsidR="0087584A" w:rsidRPr="00A430D6" w:rsidRDefault="0087584A" w:rsidP="00EC51E5">
            <w:pPr>
              <w:jc w:val="center"/>
              <w:rPr>
                <w:rFonts w:asciiTheme="minorHAnsi" w:hAnsiTheme="minorHAnsi" w:cstheme="minorHAnsi"/>
              </w:rPr>
            </w:pPr>
            <w:r w:rsidRPr="00A430D6">
              <w:rPr>
                <w:rFonts w:asciiTheme="minorHAnsi" w:hAnsiTheme="minorHAnsi" w:cstheme="minorHAnsi"/>
              </w:rPr>
              <w:t>Avril 1995</w:t>
            </w:r>
          </w:p>
        </w:tc>
        <w:tc>
          <w:tcPr>
            <w:tcW w:w="854" w:type="dxa"/>
          </w:tcPr>
          <w:p w:rsidR="0087584A" w:rsidRPr="00A430D6" w:rsidRDefault="0087584A" w:rsidP="00EC51E5">
            <w:pPr>
              <w:jc w:val="center"/>
              <w:rPr>
                <w:rFonts w:asciiTheme="minorHAnsi" w:hAnsiTheme="minorHAnsi" w:cstheme="minorHAnsi"/>
              </w:rPr>
            </w:pPr>
            <w:r w:rsidRPr="00A430D6">
              <w:rPr>
                <w:rFonts w:asciiTheme="minorHAnsi" w:hAnsiTheme="minorHAnsi" w:cstheme="minorHAnsi"/>
              </w:rPr>
              <w:t>Avril 1998</w:t>
            </w:r>
          </w:p>
        </w:tc>
        <w:tc>
          <w:tcPr>
            <w:tcW w:w="854" w:type="dxa"/>
          </w:tcPr>
          <w:p w:rsidR="0087584A" w:rsidRPr="00A430D6" w:rsidRDefault="0087584A" w:rsidP="00EC51E5">
            <w:pPr>
              <w:jc w:val="center"/>
              <w:rPr>
                <w:rFonts w:asciiTheme="minorHAnsi" w:hAnsiTheme="minorHAnsi" w:cstheme="minorHAnsi"/>
              </w:rPr>
            </w:pPr>
            <w:r w:rsidRPr="00A430D6">
              <w:rPr>
                <w:rFonts w:asciiTheme="minorHAnsi" w:hAnsiTheme="minorHAnsi" w:cstheme="minorHAnsi"/>
              </w:rPr>
              <w:t>Avril 2001</w:t>
            </w:r>
          </w:p>
        </w:tc>
        <w:tc>
          <w:tcPr>
            <w:tcW w:w="854" w:type="dxa"/>
          </w:tcPr>
          <w:p w:rsidR="0087584A" w:rsidRPr="00A430D6" w:rsidRDefault="0087584A" w:rsidP="00EC51E5">
            <w:pPr>
              <w:jc w:val="center"/>
              <w:rPr>
                <w:rFonts w:asciiTheme="minorHAnsi" w:hAnsiTheme="minorHAnsi" w:cstheme="minorHAnsi"/>
              </w:rPr>
            </w:pPr>
            <w:r w:rsidRPr="00A430D6">
              <w:rPr>
                <w:rFonts w:asciiTheme="minorHAnsi" w:hAnsiTheme="minorHAnsi" w:cstheme="minorHAnsi"/>
              </w:rPr>
              <w:t>Avril 2004</w:t>
            </w:r>
          </w:p>
        </w:tc>
        <w:tc>
          <w:tcPr>
            <w:tcW w:w="854" w:type="dxa"/>
          </w:tcPr>
          <w:p w:rsidR="0087584A" w:rsidRPr="00A430D6" w:rsidRDefault="0087584A" w:rsidP="00EC51E5">
            <w:pPr>
              <w:jc w:val="center"/>
              <w:rPr>
                <w:rFonts w:asciiTheme="minorHAnsi" w:hAnsiTheme="minorHAnsi" w:cstheme="minorHAnsi"/>
              </w:rPr>
            </w:pPr>
            <w:r w:rsidRPr="00A430D6">
              <w:rPr>
                <w:rFonts w:asciiTheme="minorHAnsi" w:hAnsiTheme="minorHAnsi" w:cstheme="minorHAnsi"/>
              </w:rPr>
              <w:t>Avril 2007</w:t>
            </w:r>
          </w:p>
        </w:tc>
        <w:tc>
          <w:tcPr>
            <w:tcW w:w="854" w:type="dxa"/>
          </w:tcPr>
          <w:p w:rsidR="0087584A" w:rsidRPr="00A430D6" w:rsidRDefault="0087584A" w:rsidP="00EC51E5">
            <w:pPr>
              <w:jc w:val="center"/>
              <w:rPr>
                <w:rFonts w:asciiTheme="minorHAnsi" w:hAnsiTheme="minorHAnsi" w:cstheme="minorHAnsi"/>
              </w:rPr>
            </w:pPr>
            <w:r w:rsidRPr="00A430D6">
              <w:rPr>
                <w:rFonts w:asciiTheme="minorHAnsi" w:hAnsiTheme="minorHAnsi" w:cstheme="minorHAnsi"/>
              </w:rPr>
              <w:t>Avril 2010</w:t>
            </w:r>
          </w:p>
        </w:tc>
        <w:tc>
          <w:tcPr>
            <w:tcW w:w="855" w:type="dxa"/>
          </w:tcPr>
          <w:p w:rsidR="0087584A" w:rsidRPr="00A430D6" w:rsidRDefault="0087584A" w:rsidP="00EC51E5">
            <w:pPr>
              <w:jc w:val="center"/>
              <w:rPr>
                <w:rFonts w:asciiTheme="minorHAnsi" w:hAnsiTheme="minorHAnsi" w:cstheme="minorHAnsi"/>
              </w:rPr>
            </w:pPr>
            <w:r w:rsidRPr="00A430D6">
              <w:rPr>
                <w:rFonts w:asciiTheme="minorHAnsi" w:hAnsiTheme="minorHAnsi" w:cstheme="minorHAnsi"/>
              </w:rPr>
              <w:t>Avril 2013</w:t>
            </w:r>
          </w:p>
        </w:tc>
        <w:tc>
          <w:tcPr>
            <w:tcW w:w="855" w:type="dxa"/>
          </w:tcPr>
          <w:p w:rsidR="0087584A" w:rsidRPr="00A430D6" w:rsidRDefault="0087584A" w:rsidP="00EC51E5">
            <w:pPr>
              <w:jc w:val="center"/>
              <w:rPr>
                <w:rFonts w:asciiTheme="minorHAnsi" w:hAnsiTheme="minorHAnsi" w:cstheme="minorHAnsi"/>
              </w:rPr>
            </w:pPr>
            <w:r w:rsidRPr="00A430D6">
              <w:rPr>
                <w:rFonts w:asciiTheme="minorHAnsi" w:hAnsiTheme="minorHAnsi" w:cstheme="minorHAnsi"/>
              </w:rPr>
              <w:t>Avril 2016</w:t>
            </w:r>
          </w:p>
        </w:tc>
        <w:tc>
          <w:tcPr>
            <w:tcW w:w="743" w:type="dxa"/>
          </w:tcPr>
          <w:p w:rsidR="0087584A" w:rsidRPr="00A430D6" w:rsidRDefault="0087584A" w:rsidP="00EC51E5">
            <w:pPr>
              <w:jc w:val="center"/>
              <w:rPr>
                <w:rFonts w:asciiTheme="minorHAnsi" w:hAnsiTheme="minorHAnsi" w:cstheme="minorHAnsi"/>
              </w:rPr>
            </w:pPr>
            <w:r w:rsidRPr="00A430D6">
              <w:rPr>
                <w:rFonts w:asciiTheme="minorHAnsi" w:hAnsiTheme="minorHAnsi" w:cstheme="minorHAnsi"/>
              </w:rPr>
              <w:t>Avril 2019</w:t>
            </w:r>
          </w:p>
        </w:tc>
      </w:tr>
      <w:tr w:rsidR="0087584A" w:rsidRPr="00A430D6" w:rsidTr="00A430D6">
        <w:trPr>
          <w:jc w:val="center"/>
        </w:trPr>
        <w:tc>
          <w:tcPr>
            <w:tcW w:w="855" w:type="dxa"/>
          </w:tcPr>
          <w:p w:rsidR="0087584A" w:rsidRPr="00A430D6" w:rsidRDefault="0087584A" w:rsidP="00EC51E5">
            <w:pPr>
              <w:jc w:val="center"/>
              <w:rPr>
                <w:rFonts w:asciiTheme="minorHAnsi" w:hAnsiTheme="minorHAnsi" w:cstheme="minorHAnsi"/>
              </w:rPr>
            </w:pPr>
            <w:r w:rsidRPr="00A430D6">
              <w:rPr>
                <w:rFonts w:asciiTheme="minorHAnsi" w:hAnsiTheme="minorHAnsi" w:cstheme="minorHAnsi"/>
              </w:rPr>
              <w:t>539</w:t>
            </w:r>
          </w:p>
        </w:tc>
        <w:tc>
          <w:tcPr>
            <w:tcW w:w="855" w:type="dxa"/>
          </w:tcPr>
          <w:p w:rsidR="0087584A" w:rsidRPr="00A430D6" w:rsidRDefault="0087584A" w:rsidP="00EC51E5">
            <w:pPr>
              <w:jc w:val="center"/>
              <w:rPr>
                <w:rFonts w:asciiTheme="minorHAnsi" w:hAnsiTheme="minorHAnsi" w:cstheme="minorHAnsi"/>
              </w:rPr>
            </w:pPr>
            <w:r w:rsidRPr="00A430D6">
              <w:rPr>
                <w:rFonts w:asciiTheme="minorHAnsi" w:hAnsiTheme="minorHAnsi" w:cstheme="minorHAnsi"/>
              </w:rPr>
              <w:t>817</w:t>
            </w:r>
          </w:p>
        </w:tc>
        <w:tc>
          <w:tcPr>
            <w:tcW w:w="855" w:type="dxa"/>
          </w:tcPr>
          <w:p w:rsidR="0087584A" w:rsidRPr="00A430D6" w:rsidRDefault="0087584A" w:rsidP="00EC51E5">
            <w:pPr>
              <w:jc w:val="center"/>
              <w:rPr>
                <w:rFonts w:asciiTheme="minorHAnsi" w:hAnsiTheme="minorHAnsi" w:cstheme="minorHAnsi"/>
              </w:rPr>
            </w:pPr>
            <w:r w:rsidRPr="00A430D6">
              <w:rPr>
                <w:rFonts w:asciiTheme="minorHAnsi" w:hAnsiTheme="minorHAnsi" w:cstheme="minorHAnsi"/>
              </w:rPr>
              <w:t>1182</w:t>
            </w:r>
          </w:p>
        </w:tc>
        <w:tc>
          <w:tcPr>
            <w:tcW w:w="854" w:type="dxa"/>
          </w:tcPr>
          <w:p w:rsidR="0087584A" w:rsidRPr="00A430D6" w:rsidRDefault="0087584A" w:rsidP="00EC51E5">
            <w:pPr>
              <w:jc w:val="center"/>
              <w:rPr>
                <w:rFonts w:asciiTheme="minorHAnsi" w:hAnsiTheme="minorHAnsi" w:cstheme="minorHAnsi"/>
              </w:rPr>
            </w:pPr>
            <w:r w:rsidRPr="00A430D6">
              <w:rPr>
                <w:rFonts w:asciiTheme="minorHAnsi" w:hAnsiTheme="minorHAnsi" w:cstheme="minorHAnsi"/>
              </w:rPr>
              <w:t>1 527</w:t>
            </w:r>
          </w:p>
        </w:tc>
        <w:tc>
          <w:tcPr>
            <w:tcW w:w="854" w:type="dxa"/>
          </w:tcPr>
          <w:p w:rsidR="0087584A" w:rsidRPr="00A430D6" w:rsidRDefault="0087584A" w:rsidP="00EC51E5">
            <w:pPr>
              <w:jc w:val="center"/>
              <w:rPr>
                <w:rFonts w:asciiTheme="minorHAnsi" w:hAnsiTheme="minorHAnsi" w:cstheme="minorHAnsi"/>
              </w:rPr>
            </w:pPr>
            <w:r w:rsidRPr="00A430D6">
              <w:rPr>
                <w:rFonts w:asciiTheme="minorHAnsi" w:hAnsiTheme="minorHAnsi" w:cstheme="minorHAnsi"/>
              </w:rPr>
              <w:t>1 239</w:t>
            </w:r>
          </w:p>
        </w:tc>
        <w:tc>
          <w:tcPr>
            <w:tcW w:w="854" w:type="dxa"/>
          </w:tcPr>
          <w:p w:rsidR="0087584A" w:rsidRPr="00A430D6" w:rsidRDefault="0087584A" w:rsidP="00EC51E5">
            <w:pPr>
              <w:jc w:val="center"/>
              <w:rPr>
                <w:rFonts w:asciiTheme="minorHAnsi" w:hAnsiTheme="minorHAnsi" w:cstheme="minorHAnsi"/>
              </w:rPr>
            </w:pPr>
            <w:r w:rsidRPr="00A430D6">
              <w:rPr>
                <w:rFonts w:asciiTheme="minorHAnsi" w:hAnsiTheme="minorHAnsi" w:cstheme="minorHAnsi"/>
              </w:rPr>
              <w:t>1 934</w:t>
            </w:r>
          </w:p>
        </w:tc>
        <w:tc>
          <w:tcPr>
            <w:tcW w:w="854" w:type="dxa"/>
          </w:tcPr>
          <w:p w:rsidR="0087584A" w:rsidRPr="00A430D6" w:rsidRDefault="0087584A" w:rsidP="00EC51E5">
            <w:pPr>
              <w:jc w:val="center"/>
              <w:rPr>
                <w:rFonts w:asciiTheme="minorHAnsi" w:hAnsiTheme="minorHAnsi" w:cstheme="minorHAnsi"/>
              </w:rPr>
            </w:pPr>
            <w:r w:rsidRPr="00A430D6">
              <w:rPr>
                <w:rFonts w:asciiTheme="minorHAnsi" w:hAnsiTheme="minorHAnsi" w:cstheme="minorHAnsi"/>
              </w:rPr>
              <w:t>3 324</w:t>
            </w:r>
          </w:p>
        </w:tc>
        <w:tc>
          <w:tcPr>
            <w:tcW w:w="854" w:type="dxa"/>
          </w:tcPr>
          <w:p w:rsidR="0087584A" w:rsidRPr="00A430D6" w:rsidRDefault="0087584A" w:rsidP="00EC51E5">
            <w:pPr>
              <w:jc w:val="center"/>
              <w:rPr>
                <w:rFonts w:asciiTheme="minorHAnsi" w:hAnsiTheme="minorHAnsi" w:cstheme="minorHAnsi"/>
              </w:rPr>
            </w:pPr>
            <w:r w:rsidRPr="00A430D6">
              <w:rPr>
                <w:rFonts w:asciiTheme="minorHAnsi" w:hAnsiTheme="minorHAnsi" w:cstheme="minorHAnsi"/>
              </w:rPr>
              <w:t>3 973</w:t>
            </w:r>
          </w:p>
        </w:tc>
        <w:tc>
          <w:tcPr>
            <w:tcW w:w="855" w:type="dxa"/>
          </w:tcPr>
          <w:p w:rsidR="0087584A" w:rsidRPr="00A430D6" w:rsidRDefault="0087584A" w:rsidP="00EC51E5">
            <w:pPr>
              <w:jc w:val="center"/>
              <w:rPr>
                <w:rFonts w:asciiTheme="minorHAnsi" w:hAnsiTheme="minorHAnsi" w:cstheme="minorHAnsi"/>
              </w:rPr>
            </w:pPr>
            <w:r w:rsidRPr="00A430D6">
              <w:rPr>
                <w:rFonts w:asciiTheme="minorHAnsi" w:hAnsiTheme="minorHAnsi" w:cstheme="minorHAnsi"/>
              </w:rPr>
              <w:t>5 357</w:t>
            </w:r>
          </w:p>
        </w:tc>
        <w:tc>
          <w:tcPr>
            <w:tcW w:w="855" w:type="dxa"/>
          </w:tcPr>
          <w:p w:rsidR="0087584A" w:rsidRPr="00A430D6" w:rsidRDefault="0087584A" w:rsidP="00EC51E5">
            <w:pPr>
              <w:jc w:val="center"/>
              <w:rPr>
                <w:rFonts w:asciiTheme="minorHAnsi" w:hAnsiTheme="minorHAnsi" w:cstheme="minorHAnsi"/>
              </w:rPr>
            </w:pPr>
            <w:r w:rsidRPr="00A430D6">
              <w:rPr>
                <w:rFonts w:asciiTheme="minorHAnsi" w:hAnsiTheme="minorHAnsi" w:cstheme="minorHAnsi"/>
              </w:rPr>
              <w:t>5 066</w:t>
            </w:r>
          </w:p>
        </w:tc>
        <w:tc>
          <w:tcPr>
            <w:tcW w:w="743" w:type="dxa"/>
          </w:tcPr>
          <w:p w:rsidR="0087584A" w:rsidRPr="00A430D6" w:rsidRDefault="0087584A" w:rsidP="00EC51E5">
            <w:pPr>
              <w:jc w:val="center"/>
              <w:rPr>
                <w:rFonts w:asciiTheme="minorHAnsi" w:hAnsiTheme="minorHAnsi" w:cstheme="minorHAnsi"/>
              </w:rPr>
            </w:pPr>
            <w:r w:rsidRPr="00A430D6">
              <w:rPr>
                <w:rFonts w:asciiTheme="minorHAnsi" w:hAnsiTheme="minorHAnsi" w:cstheme="minorHAnsi"/>
              </w:rPr>
              <w:t>6 595</w:t>
            </w:r>
          </w:p>
        </w:tc>
      </w:tr>
    </w:tbl>
    <w:p w:rsidR="009464C2" w:rsidRDefault="009464C2" w:rsidP="0087584A">
      <w:pPr>
        <w:jc w:val="right"/>
        <w:rPr>
          <w:rFonts w:asciiTheme="minorHAnsi" w:hAnsiTheme="minorHAnsi" w:cstheme="minorHAnsi"/>
        </w:rPr>
      </w:pPr>
    </w:p>
    <w:p w:rsidR="0087584A" w:rsidRPr="009464C2" w:rsidRDefault="00C13311" w:rsidP="0087584A">
      <w:pPr>
        <w:jc w:val="right"/>
        <w:rPr>
          <w:rFonts w:asciiTheme="minorHAnsi" w:hAnsiTheme="minorHAnsi" w:cstheme="minorHAnsi"/>
          <w:i/>
          <w:sz w:val="20"/>
          <w:szCs w:val="20"/>
        </w:rPr>
      </w:pPr>
      <w:hyperlink r:id="rId10" w:history="1">
        <w:r w:rsidR="0087584A" w:rsidRPr="009464C2">
          <w:rPr>
            <w:rStyle w:val="Lienhypertexte"/>
            <w:rFonts w:asciiTheme="minorHAnsi" w:hAnsiTheme="minorHAnsi" w:cstheme="minorHAnsi"/>
            <w:i/>
            <w:sz w:val="20"/>
            <w:szCs w:val="20"/>
          </w:rPr>
          <w:t>Banque des Règlements internationaux – Rapports triennaux sur le marché des changes</w:t>
        </w:r>
      </w:hyperlink>
    </w:p>
    <w:p w:rsidR="0087584A" w:rsidRPr="0087584A" w:rsidRDefault="0087584A" w:rsidP="0087584A">
      <w:pPr>
        <w:rPr>
          <w:rFonts w:asciiTheme="minorHAnsi" w:hAnsiTheme="minorHAnsi" w:cstheme="minorHAnsi"/>
        </w:rPr>
      </w:pPr>
    </w:p>
    <w:p w:rsidR="0087584A" w:rsidRPr="0087584A" w:rsidRDefault="0087584A" w:rsidP="0016103B">
      <w:pPr>
        <w:pStyle w:val="Paragraphedeliste"/>
        <w:numPr>
          <w:ilvl w:val="0"/>
          <w:numId w:val="5"/>
        </w:numPr>
        <w:jc w:val="both"/>
        <w:rPr>
          <w:rFonts w:asciiTheme="minorHAnsi" w:hAnsiTheme="minorHAnsi" w:cstheme="minorHAnsi"/>
        </w:rPr>
      </w:pPr>
      <w:r w:rsidRPr="0087584A">
        <w:rPr>
          <w:rFonts w:asciiTheme="minorHAnsi" w:hAnsiTheme="minorHAnsi" w:cstheme="minorHAnsi"/>
        </w:rPr>
        <w:t>Expliquez la phrase soulignée.</w:t>
      </w:r>
    </w:p>
    <w:p w:rsidR="0087584A" w:rsidRPr="0087584A" w:rsidRDefault="0087584A" w:rsidP="0016103B">
      <w:pPr>
        <w:pStyle w:val="Paragraphedeliste"/>
        <w:numPr>
          <w:ilvl w:val="0"/>
          <w:numId w:val="5"/>
        </w:numPr>
        <w:jc w:val="both"/>
        <w:rPr>
          <w:rFonts w:asciiTheme="minorHAnsi" w:hAnsiTheme="minorHAnsi" w:cstheme="minorHAnsi"/>
        </w:rPr>
      </w:pPr>
      <w:r w:rsidRPr="0087584A">
        <w:rPr>
          <w:rFonts w:asciiTheme="minorHAnsi" w:hAnsiTheme="minorHAnsi" w:cstheme="minorHAnsi"/>
        </w:rPr>
        <w:t>Comment un agent peut-il s'enrichir sur le marché des changes ?</w:t>
      </w:r>
    </w:p>
    <w:p w:rsidR="0087584A" w:rsidRPr="0087584A" w:rsidRDefault="0087584A" w:rsidP="0016103B">
      <w:pPr>
        <w:pStyle w:val="Paragraphedeliste"/>
        <w:numPr>
          <w:ilvl w:val="0"/>
          <w:numId w:val="5"/>
        </w:numPr>
        <w:jc w:val="both"/>
        <w:rPr>
          <w:rFonts w:asciiTheme="minorHAnsi" w:hAnsiTheme="minorHAnsi" w:cstheme="minorHAnsi"/>
        </w:rPr>
      </w:pPr>
      <w:r w:rsidRPr="0087584A">
        <w:rPr>
          <w:rFonts w:asciiTheme="minorHAnsi" w:hAnsiTheme="minorHAnsi" w:cstheme="minorHAnsi"/>
        </w:rPr>
        <w:t>Comment ont évolué les transactions sur le marché des changes depuis 1989 ?</w:t>
      </w:r>
    </w:p>
    <w:p w:rsidR="0087584A" w:rsidRPr="0087584A" w:rsidRDefault="0087584A" w:rsidP="0087584A">
      <w:pPr>
        <w:rPr>
          <w:rFonts w:asciiTheme="minorHAnsi" w:hAnsiTheme="minorHAnsi" w:cstheme="minorHAnsi"/>
        </w:rPr>
      </w:pPr>
    </w:p>
    <w:p w:rsidR="0087584A" w:rsidRPr="0087584A" w:rsidRDefault="0087584A" w:rsidP="0087584A">
      <w:pPr>
        <w:rPr>
          <w:rFonts w:asciiTheme="minorHAnsi" w:hAnsiTheme="minorHAnsi" w:cstheme="minorHAnsi"/>
        </w:rPr>
      </w:pPr>
    </w:p>
    <w:p w:rsidR="009464C2" w:rsidRDefault="009464C2">
      <w:pPr>
        <w:spacing w:after="200" w:line="276" w:lineRule="auto"/>
        <w:rPr>
          <w:rFonts w:asciiTheme="minorHAnsi" w:hAnsiTheme="minorHAnsi" w:cstheme="minorHAnsi"/>
        </w:rPr>
      </w:pPr>
      <w:r>
        <w:rPr>
          <w:rFonts w:asciiTheme="minorHAnsi" w:hAnsiTheme="minorHAnsi" w:cstheme="minorHAnsi"/>
        </w:rPr>
        <w:br w:type="page"/>
      </w:r>
    </w:p>
    <w:p w:rsidR="0087584A" w:rsidRPr="0087584A" w:rsidRDefault="0087584A" w:rsidP="0087584A">
      <w:pPr>
        <w:rPr>
          <w:rFonts w:asciiTheme="minorHAnsi" w:hAnsiTheme="minorHAnsi" w:cstheme="minorHAnsi"/>
        </w:rPr>
      </w:pPr>
      <w:r w:rsidRPr="0087584A">
        <w:rPr>
          <w:rFonts w:asciiTheme="minorHAnsi" w:hAnsiTheme="minorHAnsi" w:cstheme="minorHAnsi"/>
        </w:rPr>
        <w:lastRenderedPageBreak/>
        <w:t>Document 6 : Principaux titres du marché de capitaux dans la zone euro (19 pays)</w:t>
      </w:r>
    </w:p>
    <w:p w:rsidR="0087584A" w:rsidRPr="0087584A" w:rsidRDefault="0087584A" w:rsidP="0087584A">
      <w:pPr>
        <w:rPr>
          <w:rFonts w:asciiTheme="minorHAnsi" w:hAnsiTheme="minorHAnsi" w:cstheme="minorHAnsi"/>
        </w:rPr>
      </w:pPr>
    </w:p>
    <w:tbl>
      <w:tblPr>
        <w:tblStyle w:val="Grilledutableau"/>
        <w:tblW w:w="0" w:type="auto"/>
        <w:jc w:val="center"/>
        <w:tblLook w:val="04A0"/>
      </w:tblPr>
      <w:tblGrid>
        <w:gridCol w:w="4503"/>
        <w:gridCol w:w="2354"/>
        <w:gridCol w:w="2355"/>
      </w:tblGrid>
      <w:tr w:rsidR="0087584A" w:rsidRPr="0087584A" w:rsidTr="009464C2">
        <w:trPr>
          <w:jc w:val="center"/>
        </w:trPr>
        <w:tc>
          <w:tcPr>
            <w:tcW w:w="4503" w:type="dxa"/>
            <w:vAlign w:val="center"/>
          </w:tcPr>
          <w:p w:rsidR="0087584A" w:rsidRPr="0087584A" w:rsidRDefault="0087584A" w:rsidP="00EC51E5">
            <w:pPr>
              <w:jc w:val="center"/>
              <w:rPr>
                <w:rFonts w:asciiTheme="minorHAnsi" w:hAnsiTheme="minorHAnsi" w:cstheme="minorHAnsi"/>
                <w:sz w:val="24"/>
                <w:szCs w:val="24"/>
              </w:rPr>
            </w:pPr>
            <w:r w:rsidRPr="0087584A">
              <w:rPr>
                <w:rFonts w:asciiTheme="minorHAnsi" w:hAnsiTheme="minorHAnsi" w:cstheme="minorHAnsi"/>
                <w:sz w:val="24"/>
                <w:szCs w:val="24"/>
              </w:rPr>
              <w:t>Titres émis par des résidents, milliards €</w:t>
            </w:r>
          </w:p>
        </w:tc>
        <w:tc>
          <w:tcPr>
            <w:tcW w:w="2354" w:type="dxa"/>
            <w:tcBorders>
              <w:bottom w:val="single" w:sz="4" w:space="0" w:color="auto"/>
            </w:tcBorders>
            <w:vAlign w:val="center"/>
          </w:tcPr>
          <w:p w:rsidR="0087584A" w:rsidRPr="0087584A" w:rsidRDefault="0087584A" w:rsidP="00EC51E5">
            <w:pPr>
              <w:jc w:val="center"/>
              <w:rPr>
                <w:rFonts w:asciiTheme="minorHAnsi" w:hAnsiTheme="minorHAnsi" w:cstheme="minorHAnsi"/>
                <w:sz w:val="24"/>
                <w:szCs w:val="24"/>
              </w:rPr>
            </w:pPr>
            <w:r w:rsidRPr="0087584A">
              <w:rPr>
                <w:rFonts w:asciiTheme="minorHAnsi" w:hAnsiTheme="minorHAnsi" w:cstheme="minorHAnsi"/>
                <w:sz w:val="24"/>
                <w:szCs w:val="24"/>
              </w:rPr>
              <w:t>Encours fin janvier 2020</w:t>
            </w:r>
          </w:p>
        </w:tc>
        <w:tc>
          <w:tcPr>
            <w:tcW w:w="2355" w:type="dxa"/>
            <w:vAlign w:val="center"/>
          </w:tcPr>
          <w:p w:rsidR="0087584A" w:rsidRPr="0087584A" w:rsidRDefault="0087584A" w:rsidP="00EC51E5">
            <w:pPr>
              <w:jc w:val="center"/>
              <w:rPr>
                <w:rFonts w:asciiTheme="minorHAnsi" w:hAnsiTheme="minorHAnsi" w:cstheme="minorHAnsi"/>
                <w:sz w:val="24"/>
                <w:szCs w:val="24"/>
              </w:rPr>
            </w:pPr>
            <w:r w:rsidRPr="0087584A">
              <w:rPr>
                <w:rFonts w:asciiTheme="minorHAnsi" w:hAnsiTheme="minorHAnsi" w:cstheme="minorHAnsi"/>
                <w:sz w:val="24"/>
                <w:szCs w:val="24"/>
              </w:rPr>
              <w:t>Emissions brutes en 2019</w:t>
            </w:r>
          </w:p>
        </w:tc>
      </w:tr>
      <w:tr w:rsidR="0087584A" w:rsidRPr="0087584A" w:rsidTr="009464C2">
        <w:trPr>
          <w:jc w:val="center"/>
        </w:trPr>
        <w:tc>
          <w:tcPr>
            <w:tcW w:w="4503" w:type="dxa"/>
            <w:tcBorders>
              <w:right w:val="single" w:sz="4" w:space="0" w:color="auto"/>
            </w:tcBorders>
            <w:shd w:val="clear" w:color="auto" w:fill="FFC000"/>
          </w:tcPr>
          <w:p w:rsidR="0087584A" w:rsidRPr="0087584A" w:rsidRDefault="0087584A" w:rsidP="00EC51E5">
            <w:pPr>
              <w:rPr>
                <w:rFonts w:asciiTheme="minorHAnsi" w:hAnsiTheme="minorHAnsi" w:cstheme="minorHAnsi"/>
                <w:sz w:val="24"/>
                <w:szCs w:val="24"/>
              </w:rPr>
            </w:pPr>
            <w:r w:rsidRPr="0087584A">
              <w:rPr>
                <w:rFonts w:asciiTheme="minorHAnsi" w:hAnsiTheme="minorHAnsi" w:cstheme="minorHAnsi"/>
                <w:sz w:val="24"/>
                <w:szCs w:val="24"/>
              </w:rPr>
              <w:t>Obligations</w:t>
            </w:r>
          </w:p>
        </w:tc>
        <w:tc>
          <w:tcPr>
            <w:tcW w:w="2354" w:type="dxa"/>
            <w:tcBorders>
              <w:top w:val="single" w:sz="4" w:space="0" w:color="auto"/>
              <w:left w:val="single" w:sz="4" w:space="0" w:color="auto"/>
              <w:bottom w:val="single" w:sz="4" w:space="0" w:color="auto"/>
              <w:right w:val="single" w:sz="4" w:space="0" w:color="auto"/>
            </w:tcBorders>
            <w:shd w:val="clear" w:color="auto" w:fill="FFC000"/>
          </w:tcPr>
          <w:p w:rsidR="0087584A" w:rsidRPr="0087584A" w:rsidRDefault="00C13311" w:rsidP="00EC51E5">
            <w:pPr>
              <w:ind w:right="567"/>
              <w:jc w:val="right"/>
              <w:rPr>
                <w:rFonts w:asciiTheme="minorHAnsi" w:hAnsiTheme="minorHAnsi" w:cstheme="minorHAnsi"/>
                <w:sz w:val="24"/>
                <w:szCs w:val="24"/>
              </w:rPr>
            </w:pPr>
            <w:r>
              <w:rPr>
                <w:rFonts w:asciiTheme="minorHAnsi" w:hAnsiTheme="minorHAnsi" w:cstheme="minorHAnsi"/>
                <w:noProof/>
              </w:rPr>
              <w:pict>
                <v:oval id="_x0000_s1029" style="position:absolute;left:0;text-align:left;margin-left:33.75pt;margin-top:.6pt;width:59.9pt;height:14.4pt;z-index:251658240;mso-position-horizontal-relative:text;mso-position-vertical-relative:text" filled="f"/>
              </w:pict>
            </w:r>
            <w:r w:rsidR="0087584A" w:rsidRPr="0087584A">
              <w:rPr>
                <w:rFonts w:asciiTheme="minorHAnsi" w:hAnsiTheme="minorHAnsi" w:cstheme="minorHAnsi"/>
                <w:sz w:val="24"/>
                <w:szCs w:val="24"/>
              </w:rPr>
              <w:t>15 247</w:t>
            </w:r>
          </w:p>
        </w:tc>
        <w:tc>
          <w:tcPr>
            <w:tcW w:w="2355" w:type="dxa"/>
            <w:tcBorders>
              <w:left w:val="single" w:sz="4" w:space="0" w:color="auto"/>
            </w:tcBorders>
            <w:shd w:val="clear" w:color="auto" w:fill="FFC000"/>
          </w:tcPr>
          <w:p w:rsidR="0087584A" w:rsidRPr="0087584A" w:rsidRDefault="0087584A" w:rsidP="00EC51E5">
            <w:pPr>
              <w:ind w:right="567"/>
              <w:jc w:val="right"/>
              <w:rPr>
                <w:rFonts w:asciiTheme="minorHAnsi" w:hAnsiTheme="minorHAnsi" w:cstheme="minorHAnsi"/>
                <w:sz w:val="24"/>
                <w:szCs w:val="24"/>
              </w:rPr>
            </w:pPr>
            <w:r w:rsidRPr="0087584A">
              <w:rPr>
                <w:rFonts w:asciiTheme="minorHAnsi" w:hAnsiTheme="minorHAnsi" w:cstheme="minorHAnsi"/>
                <w:sz w:val="24"/>
                <w:szCs w:val="24"/>
              </w:rPr>
              <w:t>5 349</w:t>
            </w:r>
          </w:p>
        </w:tc>
      </w:tr>
      <w:tr w:rsidR="0087584A" w:rsidRPr="0087584A" w:rsidTr="009464C2">
        <w:trPr>
          <w:jc w:val="center"/>
        </w:trPr>
        <w:tc>
          <w:tcPr>
            <w:tcW w:w="4503" w:type="dxa"/>
          </w:tcPr>
          <w:p w:rsidR="0087584A" w:rsidRPr="0087584A" w:rsidRDefault="0087584A" w:rsidP="00EC51E5">
            <w:pPr>
              <w:rPr>
                <w:rFonts w:asciiTheme="minorHAnsi" w:hAnsiTheme="minorHAnsi" w:cstheme="minorHAnsi"/>
                <w:sz w:val="24"/>
                <w:szCs w:val="24"/>
              </w:rPr>
            </w:pPr>
            <w:r w:rsidRPr="0087584A">
              <w:rPr>
                <w:rFonts w:asciiTheme="minorHAnsi" w:hAnsiTheme="minorHAnsi" w:cstheme="minorHAnsi"/>
                <w:sz w:val="24"/>
                <w:szCs w:val="24"/>
              </w:rPr>
              <w:t>Administrations centrales</w:t>
            </w:r>
          </w:p>
        </w:tc>
        <w:tc>
          <w:tcPr>
            <w:tcW w:w="2354" w:type="dxa"/>
            <w:tcBorders>
              <w:top w:val="single" w:sz="4" w:space="0" w:color="auto"/>
            </w:tcBorders>
          </w:tcPr>
          <w:p w:rsidR="0087584A" w:rsidRPr="0087584A" w:rsidRDefault="0087584A" w:rsidP="00EC51E5">
            <w:pPr>
              <w:ind w:right="567"/>
              <w:jc w:val="right"/>
              <w:rPr>
                <w:rFonts w:asciiTheme="minorHAnsi" w:hAnsiTheme="minorHAnsi" w:cstheme="minorHAnsi"/>
                <w:sz w:val="24"/>
                <w:szCs w:val="24"/>
              </w:rPr>
            </w:pPr>
            <w:r w:rsidRPr="0087584A">
              <w:rPr>
                <w:rFonts w:asciiTheme="minorHAnsi" w:hAnsiTheme="minorHAnsi" w:cstheme="minorHAnsi"/>
                <w:sz w:val="24"/>
                <w:szCs w:val="24"/>
              </w:rPr>
              <w:t>7 510</w:t>
            </w:r>
          </w:p>
        </w:tc>
        <w:tc>
          <w:tcPr>
            <w:tcW w:w="2355" w:type="dxa"/>
          </w:tcPr>
          <w:p w:rsidR="0087584A" w:rsidRPr="0087584A" w:rsidRDefault="0087584A" w:rsidP="00EC51E5">
            <w:pPr>
              <w:ind w:right="567"/>
              <w:jc w:val="right"/>
              <w:rPr>
                <w:rFonts w:asciiTheme="minorHAnsi" w:hAnsiTheme="minorHAnsi" w:cstheme="minorHAnsi"/>
                <w:sz w:val="24"/>
                <w:szCs w:val="24"/>
              </w:rPr>
            </w:pPr>
            <w:r w:rsidRPr="0087584A">
              <w:rPr>
                <w:rFonts w:asciiTheme="minorHAnsi" w:hAnsiTheme="minorHAnsi" w:cstheme="minorHAnsi"/>
                <w:sz w:val="24"/>
                <w:szCs w:val="24"/>
              </w:rPr>
              <w:t>1 675</w:t>
            </w:r>
          </w:p>
        </w:tc>
      </w:tr>
      <w:tr w:rsidR="0087584A" w:rsidRPr="0087584A" w:rsidTr="009464C2">
        <w:trPr>
          <w:jc w:val="center"/>
        </w:trPr>
        <w:tc>
          <w:tcPr>
            <w:tcW w:w="4503" w:type="dxa"/>
          </w:tcPr>
          <w:p w:rsidR="0087584A" w:rsidRPr="0087584A" w:rsidRDefault="0087584A" w:rsidP="00EC51E5">
            <w:pPr>
              <w:rPr>
                <w:rFonts w:asciiTheme="minorHAnsi" w:hAnsiTheme="minorHAnsi" w:cstheme="minorHAnsi"/>
                <w:sz w:val="24"/>
                <w:szCs w:val="24"/>
              </w:rPr>
            </w:pPr>
            <w:r w:rsidRPr="0087584A">
              <w:rPr>
                <w:rFonts w:asciiTheme="minorHAnsi" w:hAnsiTheme="minorHAnsi" w:cstheme="minorHAnsi"/>
                <w:sz w:val="24"/>
                <w:szCs w:val="24"/>
              </w:rPr>
              <w:t>Autres administrations</w:t>
            </w:r>
          </w:p>
        </w:tc>
        <w:tc>
          <w:tcPr>
            <w:tcW w:w="2354" w:type="dxa"/>
          </w:tcPr>
          <w:p w:rsidR="0087584A" w:rsidRPr="0087584A" w:rsidRDefault="0087584A" w:rsidP="00EC51E5">
            <w:pPr>
              <w:ind w:right="567"/>
              <w:jc w:val="right"/>
              <w:rPr>
                <w:rFonts w:asciiTheme="minorHAnsi" w:hAnsiTheme="minorHAnsi" w:cstheme="minorHAnsi"/>
                <w:sz w:val="24"/>
                <w:szCs w:val="24"/>
              </w:rPr>
            </w:pPr>
            <w:r w:rsidRPr="0087584A">
              <w:rPr>
                <w:rFonts w:asciiTheme="minorHAnsi" w:hAnsiTheme="minorHAnsi" w:cstheme="minorHAnsi"/>
                <w:sz w:val="24"/>
                <w:szCs w:val="24"/>
              </w:rPr>
              <w:t>622</w:t>
            </w:r>
          </w:p>
        </w:tc>
        <w:tc>
          <w:tcPr>
            <w:tcW w:w="2355" w:type="dxa"/>
          </w:tcPr>
          <w:p w:rsidR="0087584A" w:rsidRPr="0087584A" w:rsidRDefault="0087584A" w:rsidP="00EC51E5">
            <w:pPr>
              <w:ind w:right="567"/>
              <w:jc w:val="right"/>
              <w:rPr>
                <w:rFonts w:asciiTheme="minorHAnsi" w:hAnsiTheme="minorHAnsi" w:cstheme="minorHAnsi"/>
                <w:sz w:val="24"/>
                <w:szCs w:val="24"/>
              </w:rPr>
            </w:pPr>
            <w:r w:rsidRPr="0087584A">
              <w:rPr>
                <w:rFonts w:asciiTheme="minorHAnsi" w:hAnsiTheme="minorHAnsi" w:cstheme="minorHAnsi"/>
                <w:sz w:val="24"/>
                <w:szCs w:val="24"/>
              </w:rPr>
              <w:t>342</w:t>
            </w:r>
          </w:p>
        </w:tc>
      </w:tr>
      <w:tr w:rsidR="0087584A" w:rsidRPr="0087584A" w:rsidTr="009464C2">
        <w:trPr>
          <w:jc w:val="center"/>
        </w:trPr>
        <w:tc>
          <w:tcPr>
            <w:tcW w:w="4503" w:type="dxa"/>
          </w:tcPr>
          <w:p w:rsidR="0087584A" w:rsidRPr="0087584A" w:rsidRDefault="0087584A" w:rsidP="00EC51E5">
            <w:pPr>
              <w:rPr>
                <w:rFonts w:asciiTheme="minorHAnsi" w:hAnsiTheme="minorHAnsi" w:cstheme="minorHAnsi"/>
                <w:sz w:val="24"/>
                <w:szCs w:val="24"/>
              </w:rPr>
            </w:pPr>
            <w:r w:rsidRPr="0087584A">
              <w:rPr>
                <w:rFonts w:asciiTheme="minorHAnsi" w:hAnsiTheme="minorHAnsi" w:cstheme="minorHAnsi"/>
                <w:sz w:val="24"/>
                <w:szCs w:val="24"/>
              </w:rPr>
              <w:t>Obligations privées (sociétés non financières)</w:t>
            </w:r>
          </w:p>
        </w:tc>
        <w:tc>
          <w:tcPr>
            <w:tcW w:w="2354" w:type="dxa"/>
          </w:tcPr>
          <w:p w:rsidR="0087584A" w:rsidRPr="0087584A" w:rsidRDefault="0087584A" w:rsidP="00EC51E5">
            <w:pPr>
              <w:ind w:right="567"/>
              <w:jc w:val="right"/>
              <w:rPr>
                <w:rFonts w:asciiTheme="minorHAnsi" w:hAnsiTheme="minorHAnsi" w:cstheme="minorHAnsi"/>
                <w:sz w:val="24"/>
                <w:szCs w:val="24"/>
              </w:rPr>
            </w:pPr>
            <w:r w:rsidRPr="0087584A">
              <w:rPr>
                <w:rFonts w:asciiTheme="minorHAnsi" w:hAnsiTheme="minorHAnsi" w:cstheme="minorHAnsi"/>
                <w:sz w:val="24"/>
                <w:szCs w:val="24"/>
              </w:rPr>
              <w:t>1 192</w:t>
            </w:r>
          </w:p>
        </w:tc>
        <w:tc>
          <w:tcPr>
            <w:tcW w:w="2355" w:type="dxa"/>
          </w:tcPr>
          <w:p w:rsidR="0087584A" w:rsidRPr="0087584A" w:rsidRDefault="0087584A" w:rsidP="00EC51E5">
            <w:pPr>
              <w:ind w:right="567"/>
              <w:jc w:val="right"/>
              <w:rPr>
                <w:rFonts w:asciiTheme="minorHAnsi" w:hAnsiTheme="minorHAnsi" w:cstheme="minorHAnsi"/>
                <w:sz w:val="24"/>
                <w:szCs w:val="24"/>
              </w:rPr>
            </w:pPr>
            <w:r w:rsidRPr="0087584A">
              <w:rPr>
                <w:rFonts w:asciiTheme="minorHAnsi" w:hAnsiTheme="minorHAnsi" w:cstheme="minorHAnsi"/>
                <w:sz w:val="24"/>
                <w:szCs w:val="24"/>
              </w:rPr>
              <w:t>733</w:t>
            </w:r>
          </w:p>
        </w:tc>
      </w:tr>
      <w:tr w:rsidR="0087584A" w:rsidRPr="0087584A" w:rsidTr="009464C2">
        <w:trPr>
          <w:jc w:val="center"/>
        </w:trPr>
        <w:tc>
          <w:tcPr>
            <w:tcW w:w="4503" w:type="dxa"/>
          </w:tcPr>
          <w:p w:rsidR="0087584A" w:rsidRPr="0087584A" w:rsidRDefault="0087584A" w:rsidP="00EC51E5">
            <w:pPr>
              <w:rPr>
                <w:rFonts w:asciiTheme="minorHAnsi" w:hAnsiTheme="minorHAnsi" w:cstheme="minorHAnsi"/>
                <w:sz w:val="24"/>
                <w:szCs w:val="24"/>
              </w:rPr>
            </w:pPr>
            <w:r w:rsidRPr="0087584A">
              <w:rPr>
                <w:rFonts w:asciiTheme="minorHAnsi" w:hAnsiTheme="minorHAnsi" w:cstheme="minorHAnsi"/>
                <w:sz w:val="24"/>
                <w:szCs w:val="24"/>
              </w:rPr>
              <w:t>Obligations d’institutions financières monétaires</w:t>
            </w:r>
          </w:p>
        </w:tc>
        <w:tc>
          <w:tcPr>
            <w:tcW w:w="2354" w:type="dxa"/>
          </w:tcPr>
          <w:p w:rsidR="0087584A" w:rsidRPr="0087584A" w:rsidRDefault="0087584A" w:rsidP="00EC51E5">
            <w:pPr>
              <w:ind w:right="567"/>
              <w:jc w:val="right"/>
              <w:rPr>
                <w:rFonts w:asciiTheme="minorHAnsi" w:hAnsiTheme="minorHAnsi" w:cstheme="minorHAnsi"/>
                <w:sz w:val="24"/>
                <w:szCs w:val="24"/>
              </w:rPr>
            </w:pPr>
            <w:r w:rsidRPr="0087584A">
              <w:rPr>
                <w:rFonts w:asciiTheme="minorHAnsi" w:hAnsiTheme="minorHAnsi" w:cstheme="minorHAnsi"/>
                <w:sz w:val="24"/>
                <w:szCs w:val="24"/>
              </w:rPr>
              <w:t>3 283</w:t>
            </w:r>
          </w:p>
        </w:tc>
        <w:tc>
          <w:tcPr>
            <w:tcW w:w="2355" w:type="dxa"/>
          </w:tcPr>
          <w:p w:rsidR="0087584A" w:rsidRPr="0087584A" w:rsidRDefault="0087584A" w:rsidP="00EC51E5">
            <w:pPr>
              <w:ind w:right="567"/>
              <w:jc w:val="right"/>
              <w:rPr>
                <w:rFonts w:asciiTheme="minorHAnsi" w:hAnsiTheme="minorHAnsi" w:cstheme="minorHAnsi"/>
                <w:sz w:val="24"/>
                <w:szCs w:val="24"/>
              </w:rPr>
            </w:pPr>
            <w:r w:rsidRPr="0087584A">
              <w:rPr>
                <w:rFonts w:asciiTheme="minorHAnsi" w:hAnsiTheme="minorHAnsi" w:cstheme="minorHAnsi"/>
                <w:sz w:val="24"/>
                <w:szCs w:val="24"/>
              </w:rPr>
              <w:t>1 268</w:t>
            </w:r>
          </w:p>
        </w:tc>
      </w:tr>
      <w:tr w:rsidR="0087584A" w:rsidRPr="0087584A" w:rsidTr="009464C2">
        <w:trPr>
          <w:jc w:val="center"/>
        </w:trPr>
        <w:tc>
          <w:tcPr>
            <w:tcW w:w="4503" w:type="dxa"/>
          </w:tcPr>
          <w:p w:rsidR="0087584A" w:rsidRPr="0087584A" w:rsidRDefault="0087584A" w:rsidP="00EC51E5">
            <w:pPr>
              <w:rPr>
                <w:rFonts w:asciiTheme="minorHAnsi" w:hAnsiTheme="minorHAnsi" w:cstheme="minorHAnsi"/>
                <w:sz w:val="24"/>
                <w:szCs w:val="24"/>
              </w:rPr>
            </w:pPr>
            <w:r w:rsidRPr="0087584A">
              <w:rPr>
                <w:rFonts w:asciiTheme="minorHAnsi" w:hAnsiTheme="minorHAnsi" w:cstheme="minorHAnsi"/>
                <w:sz w:val="24"/>
                <w:szCs w:val="24"/>
              </w:rPr>
              <w:t>Obligations d’institutions financières non monétaires</w:t>
            </w:r>
          </w:p>
        </w:tc>
        <w:tc>
          <w:tcPr>
            <w:tcW w:w="2354" w:type="dxa"/>
          </w:tcPr>
          <w:p w:rsidR="0087584A" w:rsidRPr="0087584A" w:rsidRDefault="0087584A" w:rsidP="00EC51E5">
            <w:pPr>
              <w:ind w:right="567"/>
              <w:jc w:val="right"/>
              <w:rPr>
                <w:rFonts w:asciiTheme="minorHAnsi" w:hAnsiTheme="minorHAnsi" w:cstheme="minorHAnsi"/>
                <w:sz w:val="24"/>
                <w:szCs w:val="24"/>
              </w:rPr>
            </w:pPr>
            <w:r w:rsidRPr="0087584A">
              <w:rPr>
                <w:rFonts w:asciiTheme="minorHAnsi" w:hAnsiTheme="minorHAnsi" w:cstheme="minorHAnsi"/>
                <w:sz w:val="24"/>
                <w:szCs w:val="24"/>
              </w:rPr>
              <w:t>2 531</w:t>
            </w:r>
          </w:p>
        </w:tc>
        <w:tc>
          <w:tcPr>
            <w:tcW w:w="2355" w:type="dxa"/>
          </w:tcPr>
          <w:p w:rsidR="0087584A" w:rsidRPr="0087584A" w:rsidRDefault="0087584A" w:rsidP="00EC51E5">
            <w:pPr>
              <w:ind w:right="567"/>
              <w:jc w:val="right"/>
              <w:rPr>
                <w:rFonts w:asciiTheme="minorHAnsi" w:hAnsiTheme="minorHAnsi" w:cstheme="minorHAnsi"/>
                <w:sz w:val="24"/>
                <w:szCs w:val="24"/>
              </w:rPr>
            </w:pPr>
            <w:r w:rsidRPr="0087584A">
              <w:rPr>
                <w:rFonts w:asciiTheme="minorHAnsi" w:hAnsiTheme="minorHAnsi" w:cstheme="minorHAnsi"/>
                <w:sz w:val="24"/>
                <w:szCs w:val="24"/>
              </w:rPr>
              <w:t>1 328</w:t>
            </w:r>
          </w:p>
        </w:tc>
      </w:tr>
      <w:tr w:rsidR="0087584A" w:rsidRPr="0087584A" w:rsidTr="009464C2">
        <w:trPr>
          <w:jc w:val="center"/>
        </w:trPr>
        <w:tc>
          <w:tcPr>
            <w:tcW w:w="4503" w:type="dxa"/>
            <w:shd w:val="clear" w:color="auto" w:fill="FFC000"/>
          </w:tcPr>
          <w:p w:rsidR="0087584A" w:rsidRPr="0087584A" w:rsidRDefault="0087584A" w:rsidP="00EC51E5">
            <w:pPr>
              <w:rPr>
                <w:rFonts w:asciiTheme="minorHAnsi" w:hAnsiTheme="minorHAnsi" w:cstheme="minorHAnsi"/>
                <w:sz w:val="24"/>
                <w:szCs w:val="24"/>
              </w:rPr>
            </w:pPr>
            <w:r w:rsidRPr="0087584A">
              <w:rPr>
                <w:rFonts w:asciiTheme="minorHAnsi" w:hAnsiTheme="minorHAnsi" w:cstheme="minorHAnsi"/>
                <w:sz w:val="24"/>
                <w:szCs w:val="24"/>
              </w:rPr>
              <w:t>Actions cotées</w:t>
            </w:r>
          </w:p>
        </w:tc>
        <w:tc>
          <w:tcPr>
            <w:tcW w:w="2354" w:type="dxa"/>
            <w:shd w:val="clear" w:color="auto" w:fill="FFC000"/>
          </w:tcPr>
          <w:p w:rsidR="0087584A" w:rsidRPr="0087584A" w:rsidRDefault="0087584A" w:rsidP="00EC51E5">
            <w:pPr>
              <w:ind w:right="567"/>
              <w:jc w:val="right"/>
              <w:rPr>
                <w:rFonts w:asciiTheme="minorHAnsi" w:hAnsiTheme="minorHAnsi" w:cstheme="minorHAnsi"/>
                <w:sz w:val="24"/>
                <w:szCs w:val="24"/>
              </w:rPr>
            </w:pPr>
            <w:r w:rsidRPr="0087584A">
              <w:rPr>
                <w:rFonts w:asciiTheme="minorHAnsi" w:hAnsiTheme="minorHAnsi" w:cstheme="minorHAnsi"/>
                <w:sz w:val="24"/>
                <w:szCs w:val="24"/>
              </w:rPr>
              <w:t>7 937</w:t>
            </w:r>
          </w:p>
        </w:tc>
        <w:tc>
          <w:tcPr>
            <w:tcW w:w="2355" w:type="dxa"/>
            <w:shd w:val="clear" w:color="auto" w:fill="FFC000"/>
          </w:tcPr>
          <w:p w:rsidR="0087584A" w:rsidRPr="0087584A" w:rsidRDefault="00C13311" w:rsidP="00EC51E5">
            <w:pPr>
              <w:ind w:right="567"/>
              <w:jc w:val="right"/>
              <w:rPr>
                <w:rFonts w:asciiTheme="minorHAnsi" w:hAnsiTheme="minorHAnsi" w:cstheme="minorHAnsi"/>
                <w:sz w:val="24"/>
                <w:szCs w:val="24"/>
              </w:rPr>
            </w:pPr>
            <w:r>
              <w:rPr>
                <w:rFonts w:asciiTheme="minorHAnsi" w:hAnsiTheme="minorHAnsi" w:cstheme="minorHAnsi"/>
                <w:noProof/>
              </w:rPr>
              <w:pict>
                <v:oval id="_x0000_s1027" style="position:absolute;left:0;text-align:left;margin-left:41.35pt;margin-top:-.25pt;width:59.9pt;height:14.4pt;z-index:251660288;mso-position-horizontal-relative:text;mso-position-vertical-relative:text" filled="f"/>
              </w:pict>
            </w:r>
            <w:r w:rsidR="0087584A" w:rsidRPr="0087584A">
              <w:rPr>
                <w:rFonts w:asciiTheme="minorHAnsi" w:hAnsiTheme="minorHAnsi" w:cstheme="minorHAnsi"/>
                <w:sz w:val="24"/>
                <w:szCs w:val="24"/>
              </w:rPr>
              <w:t>57</w:t>
            </w:r>
          </w:p>
        </w:tc>
      </w:tr>
      <w:tr w:rsidR="0087584A" w:rsidRPr="0087584A" w:rsidTr="009464C2">
        <w:trPr>
          <w:jc w:val="center"/>
        </w:trPr>
        <w:tc>
          <w:tcPr>
            <w:tcW w:w="4503" w:type="dxa"/>
          </w:tcPr>
          <w:p w:rsidR="0087584A" w:rsidRPr="0087584A" w:rsidRDefault="0087584A" w:rsidP="00EC51E5">
            <w:pPr>
              <w:rPr>
                <w:rFonts w:asciiTheme="minorHAnsi" w:hAnsiTheme="minorHAnsi" w:cstheme="minorHAnsi"/>
                <w:sz w:val="24"/>
                <w:szCs w:val="24"/>
              </w:rPr>
            </w:pPr>
            <w:r w:rsidRPr="0087584A">
              <w:rPr>
                <w:rFonts w:asciiTheme="minorHAnsi" w:hAnsiTheme="minorHAnsi" w:cstheme="minorHAnsi"/>
                <w:sz w:val="24"/>
                <w:szCs w:val="24"/>
              </w:rPr>
              <w:t>Institutions financières monétaires</w:t>
            </w:r>
          </w:p>
        </w:tc>
        <w:tc>
          <w:tcPr>
            <w:tcW w:w="2354" w:type="dxa"/>
          </w:tcPr>
          <w:p w:rsidR="0087584A" w:rsidRPr="0087584A" w:rsidRDefault="00C13311" w:rsidP="00EC51E5">
            <w:pPr>
              <w:ind w:right="567"/>
              <w:jc w:val="right"/>
              <w:rPr>
                <w:rFonts w:asciiTheme="minorHAnsi" w:hAnsiTheme="minorHAnsi" w:cstheme="minorHAnsi"/>
                <w:sz w:val="24"/>
                <w:szCs w:val="24"/>
              </w:rPr>
            </w:pPr>
            <w:r>
              <w:rPr>
                <w:rFonts w:asciiTheme="minorHAnsi" w:hAnsiTheme="minorHAnsi" w:cstheme="minorHAnsi"/>
                <w:noProof/>
              </w:rPr>
              <w:pict>
                <v:oval id="_x0000_s1028" style="position:absolute;left:0;text-align:left;margin-left:36.25pt;margin-top:14.1pt;width:59.9pt;height:14.4pt;z-index:251661312;mso-position-horizontal-relative:text;mso-position-vertical-relative:text" filled="f"/>
              </w:pict>
            </w:r>
            <w:r w:rsidR="0087584A" w:rsidRPr="0087584A">
              <w:rPr>
                <w:rFonts w:asciiTheme="minorHAnsi" w:hAnsiTheme="minorHAnsi" w:cstheme="minorHAnsi"/>
                <w:sz w:val="24"/>
                <w:szCs w:val="24"/>
              </w:rPr>
              <w:t>525</w:t>
            </w:r>
          </w:p>
        </w:tc>
        <w:tc>
          <w:tcPr>
            <w:tcW w:w="2355" w:type="dxa"/>
          </w:tcPr>
          <w:p w:rsidR="0087584A" w:rsidRPr="0087584A" w:rsidRDefault="0087584A" w:rsidP="00EC51E5">
            <w:pPr>
              <w:ind w:right="567"/>
              <w:jc w:val="right"/>
              <w:rPr>
                <w:rFonts w:asciiTheme="minorHAnsi" w:hAnsiTheme="minorHAnsi" w:cstheme="minorHAnsi"/>
                <w:sz w:val="24"/>
                <w:szCs w:val="24"/>
              </w:rPr>
            </w:pPr>
            <w:r w:rsidRPr="0087584A">
              <w:rPr>
                <w:rFonts w:asciiTheme="minorHAnsi" w:hAnsiTheme="minorHAnsi" w:cstheme="minorHAnsi"/>
                <w:sz w:val="24"/>
                <w:szCs w:val="24"/>
              </w:rPr>
              <w:t>2</w:t>
            </w:r>
          </w:p>
        </w:tc>
      </w:tr>
      <w:tr w:rsidR="0087584A" w:rsidRPr="0087584A" w:rsidTr="009464C2">
        <w:trPr>
          <w:jc w:val="center"/>
        </w:trPr>
        <w:tc>
          <w:tcPr>
            <w:tcW w:w="4503" w:type="dxa"/>
          </w:tcPr>
          <w:p w:rsidR="0087584A" w:rsidRPr="0087584A" w:rsidRDefault="0087584A" w:rsidP="00EC51E5">
            <w:pPr>
              <w:rPr>
                <w:rFonts w:asciiTheme="minorHAnsi" w:hAnsiTheme="minorHAnsi" w:cstheme="minorHAnsi"/>
                <w:sz w:val="24"/>
                <w:szCs w:val="24"/>
              </w:rPr>
            </w:pPr>
            <w:r w:rsidRPr="0087584A">
              <w:rPr>
                <w:rFonts w:asciiTheme="minorHAnsi" w:hAnsiTheme="minorHAnsi" w:cstheme="minorHAnsi"/>
                <w:sz w:val="24"/>
                <w:szCs w:val="24"/>
              </w:rPr>
              <w:t>Institutions financières non monétaires</w:t>
            </w:r>
          </w:p>
        </w:tc>
        <w:tc>
          <w:tcPr>
            <w:tcW w:w="2354" w:type="dxa"/>
          </w:tcPr>
          <w:p w:rsidR="0087584A" w:rsidRPr="0087584A" w:rsidRDefault="0087584A" w:rsidP="00EC51E5">
            <w:pPr>
              <w:ind w:right="567"/>
              <w:jc w:val="right"/>
              <w:rPr>
                <w:rFonts w:asciiTheme="minorHAnsi" w:hAnsiTheme="minorHAnsi" w:cstheme="minorHAnsi"/>
                <w:sz w:val="24"/>
                <w:szCs w:val="24"/>
              </w:rPr>
            </w:pPr>
            <w:r w:rsidRPr="0087584A">
              <w:rPr>
                <w:rFonts w:asciiTheme="minorHAnsi" w:hAnsiTheme="minorHAnsi" w:cstheme="minorHAnsi"/>
                <w:sz w:val="24"/>
                <w:szCs w:val="24"/>
              </w:rPr>
              <w:t>1 309</w:t>
            </w:r>
          </w:p>
        </w:tc>
        <w:tc>
          <w:tcPr>
            <w:tcW w:w="2355" w:type="dxa"/>
          </w:tcPr>
          <w:p w:rsidR="0087584A" w:rsidRPr="0087584A" w:rsidRDefault="0087584A" w:rsidP="00EC51E5">
            <w:pPr>
              <w:ind w:right="567"/>
              <w:jc w:val="right"/>
              <w:rPr>
                <w:rFonts w:asciiTheme="minorHAnsi" w:hAnsiTheme="minorHAnsi" w:cstheme="minorHAnsi"/>
                <w:sz w:val="24"/>
                <w:szCs w:val="24"/>
              </w:rPr>
            </w:pPr>
            <w:r w:rsidRPr="0087584A">
              <w:rPr>
                <w:rFonts w:asciiTheme="minorHAnsi" w:hAnsiTheme="minorHAnsi" w:cstheme="minorHAnsi"/>
                <w:sz w:val="24"/>
                <w:szCs w:val="24"/>
              </w:rPr>
              <w:t>12</w:t>
            </w:r>
          </w:p>
        </w:tc>
      </w:tr>
      <w:tr w:rsidR="0087584A" w:rsidRPr="0087584A" w:rsidTr="009464C2">
        <w:trPr>
          <w:jc w:val="center"/>
        </w:trPr>
        <w:tc>
          <w:tcPr>
            <w:tcW w:w="4503" w:type="dxa"/>
          </w:tcPr>
          <w:p w:rsidR="0087584A" w:rsidRPr="0087584A" w:rsidRDefault="0087584A" w:rsidP="00EC51E5">
            <w:pPr>
              <w:rPr>
                <w:rFonts w:asciiTheme="minorHAnsi" w:hAnsiTheme="minorHAnsi" w:cstheme="minorHAnsi"/>
                <w:sz w:val="24"/>
                <w:szCs w:val="24"/>
              </w:rPr>
            </w:pPr>
            <w:r w:rsidRPr="0087584A">
              <w:rPr>
                <w:rFonts w:asciiTheme="minorHAnsi" w:hAnsiTheme="minorHAnsi" w:cstheme="minorHAnsi"/>
                <w:sz w:val="24"/>
                <w:szCs w:val="24"/>
              </w:rPr>
              <w:t>Sociétés non financières</w:t>
            </w:r>
          </w:p>
        </w:tc>
        <w:tc>
          <w:tcPr>
            <w:tcW w:w="2354" w:type="dxa"/>
          </w:tcPr>
          <w:p w:rsidR="0087584A" w:rsidRPr="0087584A" w:rsidRDefault="0087584A" w:rsidP="00EC51E5">
            <w:pPr>
              <w:ind w:right="567"/>
              <w:jc w:val="right"/>
              <w:rPr>
                <w:rFonts w:asciiTheme="minorHAnsi" w:hAnsiTheme="minorHAnsi" w:cstheme="minorHAnsi"/>
                <w:sz w:val="24"/>
                <w:szCs w:val="24"/>
              </w:rPr>
            </w:pPr>
            <w:r w:rsidRPr="0087584A">
              <w:rPr>
                <w:rFonts w:asciiTheme="minorHAnsi" w:hAnsiTheme="minorHAnsi" w:cstheme="minorHAnsi"/>
                <w:sz w:val="24"/>
                <w:szCs w:val="24"/>
              </w:rPr>
              <w:t>6 103</w:t>
            </w:r>
          </w:p>
        </w:tc>
        <w:tc>
          <w:tcPr>
            <w:tcW w:w="2355" w:type="dxa"/>
          </w:tcPr>
          <w:p w:rsidR="0087584A" w:rsidRPr="0087584A" w:rsidRDefault="0087584A" w:rsidP="00EC51E5">
            <w:pPr>
              <w:ind w:right="567"/>
              <w:jc w:val="right"/>
              <w:rPr>
                <w:rFonts w:asciiTheme="minorHAnsi" w:hAnsiTheme="minorHAnsi" w:cstheme="minorHAnsi"/>
                <w:sz w:val="24"/>
                <w:szCs w:val="24"/>
              </w:rPr>
            </w:pPr>
            <w:r w:rsidRPr="0087584A">
              <w:rPr>
                <w:rFonts w:asciiTheme="minorHAnsi" w:hAnsiTheme="minorHAnsi" w:cstheme="minorHAnsi"/>
                <w:sz w:val="24"/>
                <w:szCs w:val="24"/>
              </w:rPr>
              <w:t>43</w:t>
            </w:r>
          </w:p>
        </w:tc>
      </w:tr>
    </w:tbl>
    <w:p w:rsidR="0087584A" w:rsidRPr="009464C2" w:rsidRDefault="00C13311" w:rsidP="0087584A">
      <w:pPr>
        <w:jc w:val="right"/>
        <w:rPr>
          <w:rFonts w:asciiTheme="minorHAnsi" w:hAnsiTheme="minorHAnsi" w:cstheme="minorHAnsi"/>
          <w:i/>
          <w:sz w:val="20"/>
          <w:szCs w:val="20"/>
        </w:rPr>
      </w:pPr>
      <w:hyperlink r:id="rId11" w:history="1">
        <w:r w:rsidR="0087584A" w:rsidRPr="009464C2">
          <w:rPr>
            <w:rStyle w:val="Lienhypertexte"/>
            <w:rFonts w:asciiTheme="minorHAnsi" w:hAnsiTheme="minorHAnsi" w:cstheme="minorHAnsi"/>
            <w:i/>
            <w:sz w:val="20"/>
            <w:szCs w:val="20"/>
          </w:rPr>
          <w:t>Banque de France - Webstat</w:t>
        </w:r>
      </w:hyperlink>
    </w:p>
    <w:p w:rsidR="0087584A" w:rsidRPr="0087584A" w:rsidRDefault="0087584A" w:rsidP="0087584A">
      <w:pPr>
        <w:rPr>
          <w:rFonts w:asciiTheme="minorHAnsi" w:hAnsiTheme="minorHAnsi" w:cstheme="minorHAnsi"/>
        </w:rPr>
      </w:pPr>
    </w:p>
    <w:p w:rsidR="0087584A" w:rsidRPr="0087584A" w:rsidRDefault="0087584A" w:rsidP="0016103B">
      <w:pPr>
        <w:pStyle w:val="Paragraphedeliste"/>
        <w:numPr>
          <w:ilvl w:val="0"/>
          <w:numId w:val="6"/>
        </w:numPr>
        <w:rPr>
          <w:rFonts w:asciiTheme="minorHAnsi" w:hAnsiTheme="minorHAnsi" w:cstheme="minorHAnsi"/>
        </w:rPr>
      </w:pPr>
      <w:r w:rsidRPr="0087584A">
        <w:rPr>
          <w:rFonts w:asciiTheme="minorHAnsi" w:hAnsiTheme="minorHAnsi" w:cstheme="minorHAnsi"/>
        </w:rPr>
        <w:t>Faites une phrase indiquant la signification des données entourées.</w:t>
      </w:r>
    </w:p>
    <w:p w:rsidR="0087584A" w:rsidRPr="0087584A" w:rsidRDefault="0087584A" w:rsidP="0016103B">
      <w:pPr>
        <w:pStyle w:val="Paragraphedeliste"/>
        <w:numPr>
          <w:ilvl w:val="0"/>
          <w:numId w:val="6"/>
        </w:numPr>
        <w:rPr>
          <w:rFonts w:asciiTheme="minorHAnsi" w:hAnsiTheme="minorHAnsi" w:cstheme="minorHAnsi"/>
        </w:rPr>
      </w:pPr>
      <w:r w:rsidRPr="0087584A">
        <w:rPr>
          <w:rFonts w:asciiTheme="minorHAnsi" w:hAnsiTheme="minorHAnsi" w:cstheme="minorHAnsi"/>
        </w:rPr>
        <w:t>Quel est le titre le plus émis par les résidents de la zone euro ?</w:t>
      </w:r>
    </w:p>
    <w:p w:rsidR="0087584A" w:rsidRPr="0087584A" w:rsidRDefault="0087584A" w:rsidP="0087584A">
      <w:pPr>
        <w:rPr>
          <w:rFonts w:asciiTheme="minorHAnsi" w:hAnsiTheme="minorHAnsi" w:cstheme="minorHAnsi"/>
        </w:rPr>
      </w:pPr>
    </w:p>
    <w:p w:rsidR="0087584A" w:rsidRPr="0087584A" w:rsidRDefault="0087584A" w:rsidP="0087584A">
      <w:pPr>
        <w:rPr>
          <w:rFonts w:asciiTheme="minorHAnsi" w:hAnsiTheme="minorHAnsi" w:cstheme="minorHAnsi"/>
        </w:rPr>
      </w:pPr>
    </w:p>
    <w:p w:rsidR="009464C2" w:rsidRDefault="009464C2">
      <w:pPr>
        <w:spacing w:after="200" w:line="276" w:lineRule="auto"/>
        <w:rPr>
          <w:rFonts w:asciiTheme="minorHAnsi" w:hAnsiTheme="minorHAnsi" w:cstheme="minorHAnsi"/>
        </w:rPr>
      </w:pPr>
      <w:r>
        <w:rPr>
          <w:rFonts w:asciiTheme="minorHAnsi" w:hAnsiTheme="minorHAnsi" w:cstheme="minorHAnsi"/>
        </w:rPr>
        <w:br w:type="page"/>
      </w:r>
    </w:p>
    <w:p w:rsidR="0087584A" w:rsidRPr="0087584A" w:rsidRDefault="0087584A" w:rsidP="0087584A">
      <w:pPr>
        <w:rPr>
          <w:rFonts w:asciiTheme="minorHAnsi" w:hAnsiTheme="minorHAnsi" w:cstheme="minorHAnsi"/>
        </w:rPr>
      </w:pPr>
      <w:r w:rsidRPr="0087584A">
        <w:rPr>
          <w:rFonts w:asciiTheme="minorHAnsi" w:hAnsiTheme="minorHAnsi" w:cstheme="minorHAnsi"/>
        </w:rPr>
        <w:lastRenderedPageBreak/>
        <w:t>Document 7 : Qui intervient à la Bourse ?</w:t>
      </w:r>
    </w:p>
    <w:p w:rsidR="0087584A" w:rsidRPr="0087584A" w:rsidRDefault="0087584A" w:rsidP="0087584A">
      <w:pPr>
        <w:rPr>
          <w:rFonts w:asciiTheme="minorHAnsi" w:hAnsiTheme="minorHAnsi" w:cstheme="minorHAnsi"/>
        </w:rPr>
      </w:pPr>
    </w:p>
    <w:p w:rsidR="0087584A" w:rsidRPr="0087584A" w:rsidRDefault="0087584A" w:rsidP="0087584A">
      <w:pPr>
        <w:jc w:val="both"/>
        <w:rPr>
          <w:rFonts w:asciiTheme="minorHAnsi" w:hAnsiTheme="minorHAnsi" w:cstheme="minorHAnsi"/>
        </w:rPr>
      </w:pPr>
      <w:r w:rsidRPr="0087584A">
        <w:rPr>
          <w:rFonts w:asciiTheme="minorHAnsi" w:hAnsiTheme="minorHAnsi" w:cstheme="minorHAnsi"/>
        </w:rPr>
        <w:t>Prenons la Bourse, qui est le marché le plus médiatisé, où s'échangent les valeurs mobilières (actions et obligations). Ce marché comporte deux compartiments : le marché primaire, qui est le marché "du neuf, où sont émis les nouveaux titres, et le marché secondaire, celui de "l'occasion", où s'échangent les titres émis précédemment. Les intermédiaires de base, les sociétés de Bourse, souvent filiales d'institutions bancaires, sont chargés de la négociation et de la cotation des valeurs mobilières. Mais les véritables protagonistes de ces échanges sont au nombre de trois : les émetteurs (entreprises, banques, États), qui offrent les nouveaux titres sur le marché primaire - et les rachètent parfois -, les investisseurs institutionnels (compagnies d'assurances, fonds de pension...) et les banques, qui effectuent l'essentiel des transactions sur les titres (achats et ventes).</w:t>
      </w:r>
    </w:p>
    <w:p w:rsidR="0087584A" w:rsidRPr="0087584A" w:rsidRDefault="0087584A" w:rsidP="0087584A">
      <w:pPr>
        <w:jc w:val="both"/>
        <w:rPr>
          <w:rFonts w:asciiTheme="minorHAnsi" w:hAnsiTheme="minorHAnsi" w:cstheme="minorHAnsi"/>
        </w:rPr>
      </w:pPr>
      <w:r w:rsidRPr="0087584A">
        <w:rPr>
          <w:rFonts w:asciiTheme="minorHAnsi" w:hAnsiTheme="minorHAnsi" w:cstheme="minorHAnsi"/>
        </w:rPr>
        <w:t xml:space="preserve">Deux autres catégories d'acteurs jouent un rôle essentiel d'évaluation et de contrôle sur les Bourses. Ce sont, en premier lieu, les analystes financiers, qui suivent l'évolution des finances des entreprises et des États, et surtout les agences de notation, chargées d'évaluer et de noter la capacité de remboursement des émetteurs de titres, et dont le poids sur l'équilibre du marché est devenu considérable. </w:t>
      </w:r>
    </w:p>
    <w:p w:rsidR="0087584A" w:rsidRPr="0087584A" w:rsidRDefault="0087584A" w:rsidP="0087584A">
      <w:pPr>
        <w:jc w:val="both"/>
        <w:rPr>
          <w:rFonts w:asciiTheme="minorHAnsi" w:hAnsiTheme="minorHAnsi" w:cstheme="minorHAnsi"/>
        </w:rPr>
      </w:pPr>
      <w:r w:rsidRPr="0087584A">
        <w:rPr>
          <w:rFonts w:asciiTheme="minorHAnsi" w:hAnsiTheme="minorHAnsi" w:cstheme="minorHAnsi"/>
        </w:rPr>
        <w:t>En second lieu, il y a les autorités de marché, qui sont de deux types : d'un côté, les autorités privées, qui dirigent les Bourses au travers de sociétés anonymes (la forme juridique la plus répandue).</w:t>
      </w:r>
    </w:p>
    <w:p w:rsidR="0087584A" w:rsidRPr="0087584A" w:rsidRDefault="0087584A" w:rsidP="0087584A">
      <w:pPr>
        <w:jc w:val="both"/>
        <w:rPr>
          <w:rFonts w:asciiTheme="minorHAnsi" w:hAnsiTheme="minorHAnsi" w:cstheme="minorHAnsi"/>
        </w:rPr>
      </w:pPr>
      <w:r w:rsidRPr="0087584A">
        <w:rPr>
          <w:rFonts w:asciiTheme="minorHAnsi" w:hAnsiTheme="minorHAnsi" w:cstheme="minorHAnsi"/>
        </w:rPr>
        <w:t>Ainsi Euronext, qui résulte de la fusion en 2000 des Bourses de Paris, de Bruxelles et d'Amsterdam, est une société anonyme de droit néerlandais dirigée par un conseil de surveillance et un directoire qui définit les règles de fonctionnement de ce marché paneuropéen. Au-dessus des autorités privées se trouvent les autorités publiques, présentes au niveau national - en France, l'Autorité des marchés financiers - et au niveau européen (l'Autorité européenne des valeurs mobilières, qui vient d'être créée). Ces autorités publiques ont pour rôle de fixer les règles du marché et d'en surveiller l'application ; elles ont un pouvoir de sanction.</w:t>
      </w:r>
    </w:p>
    <w:p w:rsidR="009464C2" w:rsidRDefault="009464C2" w:rsidP="0087584A">
      <w:pPr>
        <w:jc w:val="right"/>
        <w:rPr>
          <w:rFonts w:asciiTheme="minorHAnsi" w:hAnsiTheme="minorHAnsi" w:cstheme="minorHAnsi"/>
          <w:i/>
        </w:rPr>
      </w:pPr>
    </w:p>
    <w:p w:rsidR="0087584A" w:rsidRPr="009464C2" w:rsidRDefault="0087584A" w:rsidP="0087584A">
      <w:pPr>
        <w:jc w:val="right"/>
        <w:rPr>
          <w:rFonts w:asciiTheme="minorHAnsi" w:hAnsiTheme="minorHAnsi" w:cstheme="minorHAnsi"/>
          <w:i/>
          <w:sz w:val="20"/>
          <w:szCs w:val="20"/>
        </w:rPr>
      </w:pPr>
      <w:r w:rsidRPr="009464C2">
        <w:rPr>
          <w:rFonts w:asciiTheme="minorHAnsi" w:hAnsiTheme="minorHAnsi" w:cstheme="minorHAnsi"/>
          <w:i/>
          <w:sz w:val="20"/>
          <w:szCs w:val="20"/>
        </w:rPr>
        <w:t>Hector Lopin, « Les marchés financiers et Leurs acteurs », Alternatives économiques, hors-série n°87, décembre 2010.</w:t>
      </w:r>
    </w:p>
    <w:p w:rsidR="0087584A" w:rsidRPr="0087584A" w:rsidRDefault="0087584A" w:rsidP="0087584A">
      <w:pPr>
        <w:rPr>
          <w:rFonts w:asciiTheme="minorHAnsi" w:hAnsiTheme="minorHAnsi" w:cstheme="minorHAnsi"/>
        </w:rPr>
      </w:pPr>
    </w:p>
    <w:p w:rsidR="0087584A" w:rsidRPr="0087584A" w:rsidRDefault="0087584A" w:rsidP="0016103B">
      <w:pPr>
        <w:pStyle w:val="Paragraphedeliste"/>
        <w:numPr>
          <w:ilvl w:val="0"/>
          <w:numId w:val="7"/>
        </w:numPr>
        <w:jc w:val="both"/>
        <w:rPr>
          <w:rFonts w:asciiTheme="minorHAnsi" w:hAnsiTheme="minorHAnsi" w:cstheme="minorHAnsi"/>
        </w:rPr>
      </w:pPr>
      <w:r w:rsidRPr="0087584A">
        <w:rPr>
          <w:rFonts w:asciiTheme="minorHAnsi" w:hAnsiTheme="minorHAnsi" w:cstheme="minorHAnsi"/>
        </w:rPr>
        <w:t>Qui émet des titres à la Bourse ? Qui les achète ?</w:t>
      </w:r>
    </w:p>
    <w:p w:rsidR="0087584A" w:rsidRPr="0087584A" w:rsidRDefault="0087584A" w:rsidP="0016103B">
      <w:pPr>
        <w:pStyle w:val="Paragraphedeliste"/>
        <w:numPr>
          <w:ilvl w:val="0"/>
          <w:numId w:val="7"/>
        </w:numPr>
        <w:jc w:val="both"/>
        <w:rPr>
          <w:rFonts w:asciiTheme="minorHAnsi" w:hAnsiTheme="minorHAnsi" w:cstheme="minorHAnsi"/>
        </w:rPr>
      </w:pPr>
      <w:r w:rsidRPr="0087584A">
        <w:rPr>
          <w:rFonts w:asciiTheme="minorHAnsi" w:hAnsiTheme="minorHAnsi" w:cstheme="minorHAnsi"/>
        </w:rPr>
        <w:t>Quel rôle jouent les analystes financiers et les agences de notation ?</w:t>
      </w:r>
    </w:p>
    <w:p w:rsidR="0087584A" w:rsidRPr="0087584A" w:rsidRDefault="0087584A" w:rsidP="0016103B">
      <w:pPr>
        <w:pStyle w:val="Paragraphedeliste"/>
        <w:numPr>
          <w:ilvl w:val="0"/>
          <w:numId w:val="7"/>
        </w:numPr>
        <w:jc w:val="both"/>
        <w:rPr>
          <w:rFonts w:asciiTheme="minorHAnsi" w:hAnsiTheme="minorHAnsi" w:cstheme="minorHAnsi"/>
        </w:rPr>
      </w:pPr>
      <w:r w:rsidRPr="0087584A">
        <w:rPr>
          <w:rFonts w:asciiTheme="minorHAnsi" w:hAnsiTheme="minorHAnsi" w:cstheme="minorHAnsi"/>
        </w:rPr>
        <w:t>Quels rôles jouent les autorités de marché ?</w:t>
      </w:r>
    </w:p>
    <w:p w:rsidR="0087584A" w:rsidRPr="0087584A" w:rsidRDefault="0087584A" w:rsidP="0087584A">
      <w:pPr>
        <w:rPr>
          <w:rFonts w:asciiTheme="minorHAnsi" w:hAnsiTheme="minorHAnsi" w:cstheme="minorHAnsi"/>
        </w:rPr>
      </w:pPr>
    </w:p>
    <w:p w:rsidR="0087584A" w:rsidRPr="0087584A" w:rsidRDefault="0087584A" w:rsidP="0087584A">
      <w:pPr>
        <w:rPr>
          <w:rFonts w:asciiTheme="minorHAnsi" w:hAnsiTheme="minorHAnsi" w:cstheme="minorHAnsi"/>
        </w:rPr>
      </w:pPr>
    </w:p>
    <w:p w:rsidR="009464C2" w:rsidRDefault="009464C2">
      <w:pPr>
        <w:spacing w:after="200" w:line="276" w:lineRule="auto"/>
        <w:rPr>
          <w:rFonts w:asciiTheme="minorHAnsi" w:hAnsiTheme="minorHAnsi" w:cstheme="minorHAnsi"/>
        </w:rPr>
      </w:pPr>
      <w:r>
        <w:rPr>
          <w:rFonts w:asciiTheme="minorHAnsi" w:hAnsiTheme="minorHAnsi" w:cstheme="minorHAnsi"/>
        </w:rPr>
        <w:br w:type="page"/>
      </w:r>
    </w:p>
    <w:p w:rsidR="009D2974" w:rsidRDefault="0020203E" w:rsidP="0087584A">
      <w:pPr>
        <w:rPr>
          <w:rFonts w:asciiTheme="minorHAnsi" w:hAnsiTheme="minorHAnsi" w:cstheme="minorHAnsi"/>
        </w:rPr>
      </w:pPr>
      <w:r>
        <w:rPr>
          <w:rFonts w:asciiTheme="minorHAnsi" w:hAnsiTheme="minorHAnsi" w:cstheme="minorHAnsi"/>
        </w:rPr>
        <w:lastRenderedPageBreak/>
        <w:t>Document 8 : les « zinzins »</w:t>
      </w:r>
    </w:p>
    <w:p w:rsidR="0020203E" w:rsidRDefault="0020203E" w:rsidP="0087584A">
      <w:pPr>
        <w:rPr>
          <w:rFonts w:asciiTheme="minorHAnsi" w:hAnsiTheme="minorHAnsi" w:cstheme="minorHAnsi"/>
        </w:rPr>
      </w:pPr>
    </w:p>
    <w:p w:rsidR="009D2974" w:rsidRPr="009D2974" w:rsidRDefault="0020203E" w:rsidP="009D2974">
      <w:pPr>
        <w:jc w:val="both"/>
        <w:rPr>
          <w:rFonts w:asciiTheme="minorHAnsi" w:hAnsiTheme="minorHAnsi" w:cstheme="minorHAnsi"/>
        </w:rPr>
      </w:pPr>
      <w:r>
        <w:rPr>
          <w:rFonts w:asciiTheme="minorHAnsi" w:hAnsiTheme="minorHAnsi" w:cstheme="minorHAnsi"/>
        </w:rPr>
        <w:t>À</w:t>
      </w:r>
      <w:r w:rsidR="009D2974" w:rsidRPr="009D2974">
        <w:rPr>
          <w:rFonts w:asciiTheme="minorHAnsi" w:hAnsiTheme="minorHAnsi" w:cstheme="minorHAnsi"/>
        </w:rPr>
        <w:t xml:space="preserve"> coté des particuliers, il existe nombre d'autres intervenants sur le marché boursier : les entreprises cotées elles-mêmes, qui peuvent intervenir sur leurs propres actions ou celles d'autres sociétés par le biais d'opérations boursières, comme les Offres publiques d'achat, par exemple. Mais aussi une foule d'intervenants professionnels, publics et privés, qui ont pour but de faire fructifier leur portefeuille en procédant à des choix d'investissement judicieux. On les appelle les </w:t>
      </w:r>
      <w:r w:rsidR="009D2974" w:rsidRPr="009D2974">
        <w:rPr>
          <w:rFonts w:asciiTheme="minorHAnsi" w:eastAsiaTheme="majorEastAsia" w:hAnsiTheme="minorHAnsi" w:cstheme="minorHAnsi"/>
        </w:rPr>
        <w:t>Investisseurs institutionnels</w:t>
      </w:r>
      <w:r w:rsidR="009D2974" w:rsidRPr="009D2974">
        <w:rPr>
          <w:rFonts w:asciiTheme="minorHAnsi" w:hAnsiTheme="minorHAnsi" w:cstheme="minorHAnsi"/>
        </w:rPr>
        <w:t>, et parfois, avec ironie et en accentuant les liaisons, les « </w:t>
      </w:r>
      <w:r w:rsidR="009D2974" w:rsidRPr="009D2974">
        <w:rPr>
          <w:rFonts w:asciiTheme="minorHAnsi" w:eastAsiaTheme="majorEastAsia" w:hAnsiTheme="minorHAnsi" w:cstheme="minorHAnsi"/>
        </w:rPr>
        <w:t>zinzins</w:t>
      </w:r>
      <w:r w:rsidR="009D2974" w:rsidRPr="009D2974">
        <w:rPr>
          <w:rFonts w:asciiTheme="minorHAnsi" w:hAnsiTheme="minorHAnsi" w:cstheme="minorHAnsi"/>
        </w:rPr>
        <w:t> ».</w:t>
      </w:r>
    </w:p>
    <w:p w:rsidR="009D2974" w:rsidRPr="009D2974" w:rsidRDefault="009D2974" w:rsidP="009D2974">
      <w:pPr>
        <w:jc w:val="both"/>
        <w:rPr>
          <w:rFonts w:asciiTheme="minorHAnsi" w:hAnsiTheme="minorHAnsi" w:cstheme="minorHAnsi"/>
        </w:rPr>
      </w:pPr>
      <w:r w:rsidRPr="009D2974">
        <w:rPr>
          <w:rFonts w:asciiTheme="minorHAnsi" w:hAnsiTheme="minorHAnsi" w:cstheme="minorHAnsi"/>
        </w:rPr>
        <w:t>C'est un univers très vaste ou cohabitent des fonds d'</w:t>
      </w:r>
      <w:r>
        <w:rPr>
          <w:rFonts w:asciiTheme="minorHAnsi" w:hAnsiTheme="minorHAnsi" w:cstheme="minorHAnsi"/>
        </w:rPr>
        <w:t>É</w:t>
      </w:r>
      <w:r w:rsidRPr="009D2974">
        <w:rPr>
          <w:rFonts w:asciiTheme="minorHAnsi" w:hAnsiTheme="minorHAnsi" w:cstheme="minorHAnsi"/>
        </w:rPr>
        <w:t>tat (ceux qu'on appelle les fonds souverains), des fonds de pensions (qui gèrent l'épargne de cotisants pour leur fournir un complément de revenu à la retraite), des fonds d'investissements (les Sicav et les FCP, en France), des compagnies d'assurance, des fonds spéculatifs, comme les fameux hedge funds et des fonds de capital-risque, qui aident les entreprises à se développer et les revendent ensuite. Sans oublier l'</w:t>
      </w:r>
      <w:r>
        <w:rPr>
          <w:rFonts w:asciiTheme="minorHAnsi" w:hAnsiTheme="minorHAnsi" w:cstheme="minorHAnsi"/>
        </w:rPr>
        <w:t>É</w:t>
      </w:r>
      <w:r w:rsidRPr="009D2974">
        <w:rPr>
          <w:rFonts w:asciiTheme="minorHAnsi" w:hAnsiTheme="minorHAnsi" w:cstheme="minorHAnsi"/>
        </w:rPr>
        <w:t>tat, actionnaire parfois passif (Air France, Renault...), parfois aussi très actif, et présent aussi par le biais de ses différentes branches d'investissement (en France, c'est le FSI, son fonds de pension institutionnel)...</w:t>
      </w:r>
    </w:p>
    <w:p w:rsidR="009D2974" w:rsidRPr="009D2974" w:rsidRDefault="009D2974" w:rsidP="009D2974">
      <w:pPr>
        <w:jc w:val="both"/>
        <w:rPr>
          <w:rFonts w:asciiTheme="minorHAnsi" w:hAnsiTheme="minorHAnsi" w:cstheme="minorHAnsi"/>
        </w:rPr>
      </w:pPr>
      <w:r w:rsidRPr="009D2974">
        <w:rPr>
          <w:rFonts w:asciiTheme="minorHAnsi" w:hAnsiTheme="minorHAnsi" w:cstheme="minorHAnsi"/>
        </w:rPr>
        <w:t xml:space="preserve">Il serait sans doute fastidieux de tous les énumérer. Cependant il est utile de connaître l'importance et le rôle de la plupart d'entre eux. </w:t>
      </w:r>
      <w:r w:rsidRPr="009D2974">
        <w:rPr>
          <w:rFonts w:asciiTheme="minorHAnsi" w:eastAsiaTheme="majorEastAsia" w:hAnsiTheme="minorHAnsi" w:cstheme="minorHAnsi"/>
        </w:rPr>
        <w:t>Ces intervenants recouvrent, en gros, cinq catégories</w:t>
      </w:r>
      <w:r w:rsidRPr="009D2974">
        <w:rPr>
          <w:rFonts w:asciiTheme="minorHAnsi" w:hAnsiTheme="minorHAnsi" w:cstheme="minorHAnsi"/>
        </w:rPr>
        <w:t xml:space="preserve"> : les fonds mutuels ou sociétés d'investissement (en France, elles sont appelées Sicav ou FCP), les fonds de pension, qui gèrent l'épargne retraite des régimes par capitalisation, les fonds souverains, les fonds purement spéculatifs et les compagnies d'assurance. </w:t>
      </w:r>
    </w:p>
    <w:p w:rsidR="009D2974" w:rsidRPr="009D2974" w:rsidRDefault="009D2974" w:rsidP="009D2974">
      <w:pPr>
        <w:jc w:val="both"/>
        <w:rPr>
          <w:rFonts w:asciiTheme="minorHAnsi" w:hAnsiTheme="minorHAnsi" w:cstheme="minorHAnsi"/>
        </w:rPr>
      </w:pPr>
      <w:r w:rsidRPr="009D2974">
        <w:rPr>
          <w:rFonts w:asciiTheme="minorHAnsi" w:hAnsiTheme="minorHAnsi" w:cstheme="minorHAnsi"/>
        </w:rPr>
        <w:t xml:space="preserve">Les épargnants français aiment l'assurance-vie. Ce placement, qui bénéficie de nombreux avantages fiscaux, est même leur produit financier préféré puisqu'il pèse près de 50% de leur épargne non immobilière. En conséquence, </w:t>
      </w:r>
      <w:r w:rsidRPr="009D2974">
        <w:rPr>
          <w:rFonts w:asciiTheme="minorHAnsi" w:eastAsiaTheme="majorEastAsia" w:hAnsiTheme="minorHAnsi" w:cstheme="minorHAnsi"/>
        </w:rPr>
        <w:t>les assureurs se retrouvent avec une masse énorme à gérer : plus de 1300 milliards d'euros</w:t>
      </w:r>
      <w:r w:rsidRPr="009D2974">
        <w:rPr>
          <w:rFonts w:asciiTheme="minorHAnsi" w:hAnsiTheme="minorHAnsi" w:cstheme="minorHAnsi"/>
        </w:rPr>
        <w:t>. Elles en investissent une grande partie en titres obligataires d'</w:t>
      </w:r>
      <w:r>
        <w:rPr>
          <w:rFonts w:asciiTheme="minorHAnsi" w:hAnsiTheme="minorHAnsi" w:cstheme="minorHAnsi"/>
        </w:rPr>
        <w:t>É</w:t>
      </w:r>
      <w:r w:rsidRPr="009D2974">
        <w:rPr>
          <w:rFonts w:asciiTheme="minorHAnsi" w:hAnsiTheme="minorHAnsi" w:cstheme="minorHAnsi"/>
        </w:rPr>
        <w:t>tat et d'entreprises, mais aussi une grande partie en bourse. S'ajoute à cette épargne qui leur est confiée, les masses des cotisations d'assurance dommages. Quand nous versons notre cotisation d'assurance habitation ou automobile, une partie sert à rémunérer le réseau et la couverture des risques, le reste est investi sur les marchés financiers et sert -du moins si la qualité de la gestion et les marchés le permettent- à extraire des bénéfices financiers.</w:t>
      </w:r>
    </w:p>
    <w:p w:rsidR="009D2974" w:rsidRPr="009D2974" w:rsidRDefault="009D2974" w:rsidP="009D2974">
      <w:pPr>
        <w:jc w:val="both"/>
        <w:rPr>
          <w:rFonts w:asciiTheme="minorHAnsi" w:hAnsiTheme="minorHAnsi" w:cstheme="minorHAnsi"/>
        </w:rPr>
      </w:pPr>
      <w:r w:rsidRPr="009D2974">
        <w:rPr>
          <w:rFonts w:asciiTheme="minorHAnsi" w:hAnsiTheme="minorHAnsi" w:cstheme="minorHAnsi"/>
        </w:rPr>
        <w:t xml:space="preserve">Les Français sont couverts par un système encore assez protecteur d'assurance retraite. Mais dans d'autres pays, la préparation de la retraite est laissée aux travailleurs et aux entreprises, qui doivent cotiser et épargne pour assurer le versement des pensions. Cela explique le </w:t>
      </w:r>
      <w:r w:rsidRPr="009D2974">
        <w:rPr>
          <w:rFonts w:asciiTheme="minorHAnsi" w:eastAsiaTheme="majorEastAsia" w:hAnsiTheme="minorHAnsi" w:cstheme="minorHAnsi"/>
        </w:rPr>
        <w:t>poids financier et boursier de ces mastodontes que sont devenu</w:t>
      </w:r>
      <w:r>
        <w:rPr>
          <w:rFonts w:asciiTheme="minorHAnsi" w:eastAsiaTheme="majorEastAsia" w:hAnsiTheme="minorHAnsi" w:cstheme="minorHAnsi"/>
        </w:rPr>
        <w:t>e</w:t>
      </w:r>
      <w:r w:rsidRPr="009D2974">
        <w:rPr>
          <w:rFonts w:asciiTheme="minorHAnsi" w:eastAsiaTheme="majorEastAsia" w:hAnsiTheme="minorHAnsi" w:cstheme="minorHAnsi"/>
        </w:rPr>
        <w:t>s les compagnies d'assurance</w:t>
      </w:r>
      <w:r w:rsidRPr="009D2974">
        <w:rPr>
          <w:rFonts w:asciiTheme="minorHAnsi" w:hAnsiTheme="minorHAnsi" w:cstheme="minorHAnsi"/>
        </w:rPr>
        <w:t>.</w:t>
      </w:r>
    </w:p>
    <w:p w:rsidR="009D2974" w:rsidRPr="009D2974" w:rsidRDefault="009D2974" w:rsidP="009D2974">
      <w:pPr>
        <w:jc w:val="both"/>
        <w:rPr>
          <w:rFonts w:asciiTheme="minorHAnsi" w:hAnsiTheme="minorHAnsi" w:cstheme="minorHAnsi"/>
        </w:rPr>
      </w:pPr>
      <w:r w:rsidRPr="009D2974">
        <w:rPr>
          <w:rFonts w:asciiTheme="minorHAnsi" w:hAnsiTheme="minorHAnsi" w:cstheme="minorHAnsi"/>
        </w:rPr>
        <w:t xml:space="preserve">Cela explique aussi pourquoi, aujourd'hui, </w:t>
      </w:r>
      <w:r w:rsidRPr="009D2974">
        <w:rPr>
          <w:rFonts w:asciiTheme="minorHAnsi" w:eastAsiaTheme="majorEastAsia" w:hAnsiTheme="minorHAnsi" w:cstheme="minorHAnsi"/>
        </w:rPr>
        <w:t>les fonds gérés par les assureurs représentent plus du quart du montant total des actifs gérés dans le monde par les institutionnels, soit plus de 15 000 milliards de dollars !</w:t>
      </w:r>
      <w:r w:rsidRPr="009D2974">
        <w:rPr>
          <w:rFonts w:asciiTheme="minorHAnsi" w:hAnsiTheme="minorHAnsi" w:cstheme="minorHAnsi"/>
        </w:rPr>
        <w:t xml:space="preserve"> Ces institutionnels sont parmi les plus respectés, car ils sont un facteur de stabilité du marché.</w:t>
      </w:r>
    </w:p>
    <w:p w:rsidR="009D2974" w:rsidRPr="009D2974" w:rsidRDefault="009D2974" w:rsidP="009D2974">
      <w:pPr>
        <w:jc w:val="both"/>
        <w:rPr>
          <w:rFonts w:asciiTheme="minorHAnsi" w:hAnsiTheme="minorHAnsi" w:cstheme="minorHAnsi"/>
        </w:rPr>
      </w:pPr>
      <w:r w:rsidRPr="009D2974">
        <w:rPr>
          <w:rFonts w:asciiTheme="minorHAnsi" w:hAnsiTheme="minorHAnsi" w:cstheme="minorHAnsi"/>
        </w:rPr>
        <w:t>En effet, ils gèrent une relation à long terme. Ils peuvent prendre des risques élevés à court terme, seule façon d'obtenir des rendements élevés, mais lisser cette prise de risque sur le temps, en sécurisant peu à peu leurs gains. L'argent que leur confie un épargnant en année N n'est destiné à être rendu, sous forme de pension, en année N+ 10 ou N+20. Leur horizon n'est donc pas ce qui va se passer dans trois ans, mais plutôt dans trois décennies. C'est ce qui explique que ce ne sont pas les investisseurs les plus actifs et que leur durée de détention des titres est supérieure de moitié à celle du marché.</w:t>
      </w:r>
    </w:p>
    <w:p w:rsidR="009D2974" w:rsidRDefault="009D2974" w:rsidP="0087584A">
      <w:pPr>
        <w:rPr>
          <w:rFonts w:asciiTheme="minorHAnsi" w:hAnsiTheme="minorHAnsi" w:cstheme="minorHAnsi"/>
        </w:rPr>
      </w:pPr>
    </w:p>
    <w:p w:rsidR="009D2974" w:rsidRPr="009D2974" w:rsidRDefault="009D2974" w:rsidP="009D2974">
      <w:pPr>
        <w:jc w:val="right"/>
        <w:rPr>
          <w:rFonts w:asciiTheme="minorHAnsi" w:hAnsiTheme="minorHAnsi" w:cstheme="minorHAnsi"/>
          <w:i/>
          <w:sz w:val="20"/>
          <w:szCs w:val="20"/>
        </w:rPr>
      </w:pPr>
      <w:r w:rsidRPr="009D2974">
        <w:rPr>
          <w:rFonts w:asciiTheme="minorHAnsi" w:hAnsiTheme="minorHAnsi" w:cstheme="minorHAnsi"/>
          <w:i/>
          <w:sz w:val="20"/>
          <w:szCs w:val="20"/>
        </w:rPr>
        <w:t>Alternatives Economiques, décembre 2010</w:t>
      </w:r>
    </w:p>
    <w:p w:rsidR="009D2974" w:rsidRDefault="009D2974" w:rsidP="0087584A">
      <w:pPr>
        <w:rPr>
          <w:rFonts w:asciiTheme="minorHAnsi" w:hAnsiTheme="minorHAnsi" w:cstheme="minorHAnsi"/>
        </w:rPr>
      </w:pPr>
    </w:p>
    <w:p w:rsidR="00AA6A14" w:rsidRDefault="00AA6A14" w:rsidP="0016103B">
      <w:pPr>
        <w:pStyle w:val="Paragraphedeliste"/>
        <w:numPr>
          <w:ilvl w:val="0"/>
          <w:numId w:val="11"/>
        </w:numPr>
        <w:rPr>
          <w:rFonts w:asciiTheme="minorHAnsi" w:hAnsiTheme="minorHAnsi" w:cstheme="minorHAnsi"/>
        </w:rPr>
      </w:pPr>
      <w:r>
        <w:rPr>
          <w:rFonts w:asciiTheme="minorHAnsi" w:hAnsiTheme="minorHAnsi" w:cstheme="minorHAnsi"/>
        </w:rPr>
        <w:t>Qui sont les « zinzins » ?</w:t>
      </w:r>
    </w:p>
    <w:p w:rsidR="00AA6A14" w:rsidRDefault="00AA6A14" w:rsidP="0016103B">
      <w:pPr>
        <w:pStyle w:val="Paragraphedeliste"/>
        <w:numPr>
          <w:ilvl w:val="0"/>
          <w:numId w:val="11"/>
        </w:numPr>
        <w:rPr>
          <w:rFonts w:asciiTheme="minorHAnsi" w:hAnsiTheme="minorHAnsi" w:cstheme="minorHAnsi"/>
        </w:rPr>
      </w:pPr>
      <w:r>
        <w:rPr>
          <w:rFonts w:asciiTheme="minorHAnsi" w:hAnsiTheme="minorHAnsi" w:cstheme="minorHAnsi"/>
        </w:rPr>
        <w:t>Quel est leur rôle sur les marchés financiers ?</w:t>
      </w:r>
    </w:p>
    <w:p w:rsidR="00AA6A14" w:rsidRPr="00AA6A14" w:rsidRDefault="00AA6A14" w:rsidP="0016103B">
      <w:pPr>
        <w:pStyle w:val="Paragraphedeliste"/>
        <w:numPr>
          <w:ilvl w:val="0"/>
          <w:numId w:val="11"/>
        </w:numPr>
        <w:rPr>
          <w:rFonts w:asciiTheme="minorHAnsi" w:hAnsiTheme="minorHAnsi" w:cstheme="minorHAnsi"/>
        </w:rPr>
      </w:pPr>
      <w:r>
        <w:rPr>
          <w:rFonts w:asciiTheme="minorHAnsi" w:hAnsiTheme="minorHAnsi" w:cstheme="minorHAnsi"/>
        </w:rPr>
        <w:t>Sont-ils des acteurs favorisant la stabilité des marchés financiers ?</w:t>
      </w:r>
    </w:p>
    <w:p w:rsidR="00AA6A14" w:rsidRDefault="00AA6A14">
      <w:pPr>
        <w:spacing w:after="200" w:line="276" w:lineRule="auto"/>
        <w:rPr>
          <w:rFonts w:asciiTheme="minorHAnsi" w:hAnsiTheme="minorHAnsi" w:cstheme="minorHAnsi"/>
        </w:rPr>
      </w:pPr>
      <w:r>
        <w:rPr>
          <w:rFonts w:asciiTheme="minorHAnsi" w:hAnsiTheme="minorHAnsi" w:cstheme="minorHAnsi"/>
        </w:rPr>
        <w:br w:type="page"/>
      </w:r>
    </w:p>
    <w:p w:rsidR="0087584A" w:rsidRDefault="0020203E" w:rsidP="0087584A">
      <w:pPr>
        <w:rPr>
          <w:rFonts w:asciiTheme="minorHAnsi" w:hAnsiTheme="minorHAnsi" w:cstheme="minorHAnsi"/>
        </w:rPr>
      </w:pPr>
      <w:r>
        <w:rPr>
          <w:rFonts w:asciiTheme="minorHAnsi" w:hAnsiTheme="minorHAnsi" w:cstheme="minorHAnsi"/>
        </w:rPr>
        <w:lastRenderedPageBreak/>
        <w:t>Document 9 : les hedge funds</w:t>
      </w:r>
    </w:p>
    <w:p w:rsidR="0020203E" w:rsidRPr="0087584A" w:rsidRDefault="0020203E" w:rsidP="0087584A">
      <w:pPr>
        <w:rPr>
          <w:rFonts w:asciiTheme="minorHAnsi" w:hAnsiTheme="minorHAnsi" w:cstheme="minorHAnsi"/>
        </w:rPr>
      </w:pPr>
    </w:p>
    <w:p w:rsidR="009D2974" w:rsidRPr="009D2974" w:rsidRDefault="009D2974" w:rsidP="009D2974">
      <w:pPr>
        <w:jc w:val="both"/>
        <w:rPr>
          <w:rFonts w:asciiTheme="minorHAnsi" w:hAnsiTheme="minorHAnsi" w:cstheme="minorHAnsi"/>
        </w:rPr>
      </w:pPr>
      <w:r w:rsidRPr="009D2974">
        <w:rPr>
          <w:rFonts w:asciiTheme="minorHAnsi" w:hAnsiTheme="minorHAnsi" w:cstheme="minorHAnsi"/>
        </w:rPr>
        <w:t xml:space="preserve">Les </w:t>
      </w:r>
      <w:r w:rsidRPr="009D2974">
        <w:rPr>
          <w:rFonts w:asciiTheme="minorHAnsi" w:eastAsiaTheme="majorEastAsia" w:hAnsiTheme="minorHAnsi" w:cstheme="minorHAnsi"/>
        </w:rPr>
        <w:t>hedge funds</w:t>
      </w:r>
      <w:r w:rsidRPr="009D2974">
        <w:rPr>
          <w:rFonts w:asciiTheme="minorHAnsi" w:hAnsiTheme="minorHAnsi" w:cstheme="minorHAnsi"/>
        </w:rPr>
        <w:t xml:space="preserve"> sont des fonds d’investissement d’un type particulier. Il n’existe pas de définition légale, précise et formelle du terme. </w:t>
      </w:r>
      <w:r w:rsidRPr="009D2974">
        <w:rPr>
          <w:rFonts w:asciiTheme="minorHAnsi" w:eastAsiaTheme="majorEastAsia" w:hAnsiTheme="minorHAnsi" w:cstheme="minorHAnsi"/>
        </w:rPr>
        <w:t>Le terme lui-même est trompeur</w:t>
      </w:r>
      <w:r w:rsidRPr="009D2974">
        <w:rPr>
          <w:rFonts w:asciiTheme="minorHAnsi" w:hAnsiTheme="minorHAnsi" w:cstheme="minorHAnsi"/>
        </w:rPr>
        <w:t xml:space="preserve">. La traduction littérale en français est </w:t>
      </w:r>
      <w:r w:rsidR="00AA6A14">
        <w:rPr>
          <w:rFonts w:asciiTheme="minorHAnsi" w:hAnsiTheme="minorHAnsi" w:cstheme="minorHAnsi"/>
        </w:rPr>
        <w:t>« fonds de couverture »</w:t>
      </w:r>
      <w:r w:rsidRPr="009D2974">
        <w:rPr>
          <w:rFonts w:asciiTheme="minorHAnsi" w:hAnsiTheme="minorHAnsi" w:cstheme="minorHAnsi"/>
        </w:rPr>
        <w:t>, c’est-à-dire se livrant à des placements de protection contre les fluctuations des marchés considérés.</w:t>
      </w:r>
    </w:p>
    <w:p w:rsidR="009D2974" w:rsidRPr="009D2974" w:rsidRDefault="009D2974" w:rsidP="009D2974">
      <w:pPr>
        <w:jc w:val="both"/>
        <w:rPr>
          <w:rFonts w:asciiTheme="minorHAnsi" w:hAnsiTheme="minorHAnsi" w:cstheme="minorHAnsi"/>
        </w:rPr>
      </w:pPr>
      <w:r w:rsidRPr="009D2974">
        <w:rPr>
          <w:rFonts w:asciiTheme="minorHAnsi" w:hAnsiTheme="minorHAnsi" w:cstheme="minorHAnsi"/>
        </w:rPr>
        <w:t xml:space="preserve">Une telle définition devrait les faire pencher du côté des fonds sans risque ; or, au contraire </w:t>
      </w:r>
      <w:r w:rsidRPr="009D2974">
        <w:rPr>
          <w:rFonts w:asciiTheme="minorHAnsi" w:eastAsiaTheme="majorEastAsia" w:hAnsiTheme="minorHAnsi" w:cstheme="minorHAnsi"/>
        </w:rPr>
        <w:t>il s’agit de fonds particulièrement risqués</w:t>
      </w:r>
      <w:r w:rsidRPr="009D2974">
        <w:rPr>
          <w:rFonts w:asciiTheme="minorHAnsi" w:hAnsiTheme="minorHAnsi" w:cstheme="minorHAnsi"/>
        </w:rPr>
        <w:t>, beaucoup plus risqués que les fonds communs de placement (</w:t>
      </w:r>
      <w:r w:rsidRPr="009D2974">
        <w:rPr>
          <w:rFonts w:asciiTheme="minorHAnsi" w:eastAsiaTheme="majorEastAsia" w:hAnsiTheme="minorHAnsi" w:cstheme="minorHAnsi"/>
        </w:rPr>
        <w:t>OPCVM</w:t>
      </w:r>
      <w:r w:rsidRPr="009D2974">
        <w:rPr>
          <w:rFonts w:asciiTheme="minorHAnsi" w:hAnsiTheme="minorHAnsi" w:cstheme="minorHAnsi"/>
        </w:rPr>
        <w:t>). Pourquoi ?</w:t>
      </w:r>
    </w:p>
    <w:p w:rsidR="009D2974" w:rsidRPr="009D2974" w:rsidRDefault="009D2974" w:rsidP="009D2974">
      <w:pPr>
        <w:jc w:val="both"/>
        <w:rPr>
          <w:rFonts w:asciiTheme="minorHAnsi" w:hAnsiTheme="minorHAnsi" w:cstheme="minorHAnsi"/>
        </w:rPr>
      </w:pPr>
      <w:r w:rsidRPr="009D2974">
        <w:rPr>
          <w:rFonts w:asciiTheme="minorHAnsi" w:hAnsiTheme="minorHAnsi" w:cstheme="minorHAnsi"/>
        </w:rPr>
        <w:t xml:space="preserve">Ils sont </w:t>
      </w:r>
      <w:r w:rsidRPr="009D2974">
        <w:rPr>
          <w:rFonts w:asciiTheme="minorHAnsi" w:eastAsiaTheme="majorEastAsia" w:hAnsiTheme="minorHAnsi" w:cstheme="minorHAnsi"/>
        </w:rPr>
        <w:t>peu ou pas réglementés</w:t>
      </w:r>
      <w:r w:rsidRPr="009D2974">
        <w:rPr>
          <w:rFonts w:asciiTheme="minorHAnsi" w:hAnsiTheme="minorHAnsi" w:cstheme="minorHAnsi"/>
        </w:rPr>
        <w:t xml:space="preserve">. </w:t>
      </w:r>
      <w:r w:rsidR="00AA6A14">
        <w:rPr>
          <w:rFonts w:asciiTheme="minorHAnsi" w:hAnsiTheme="minorHAnsi" w:cstheme="minorHAnsi"/>
        </w:rPr>
        <w:t>À</w:t>
      </w:r>
      <w:r w:rsidRPr="009D2974">
        <w:rPr>
          <w:rFonts w:asciiTheme="minorHAnsi" w:hAnsiTheme="minorHAnsi" w:cstheme="minorHAnsi"/>
        </w:rPr>
        <w:t xml:space="preserve"> la différence des fonds d’investissement destinés au grand public, une part importante des fonds peut être investie en actifs illiquides ou complexes. Ils utilisent massivement les techniques permettant de spéculer sur l’évolution des marchés, à la baisse comme à la hausse (utilisation massive de produits dérivés, de la vente à découvert et de l’effet de levier). Ils sont peu transparents et souvent implantés dans les paradis fiscaux.</w:t>
      </w:r>
    </w:p>
    <w:p w:rsidR="009D2974" w:rsidRPr="009D2974" w:rsidRDefault="009D2974" w:rsidP="009D2974">
      <w:pPr>
        <w:jc w:val="both"/>
        <w:rPr>
          <w:rFonts w:asciiTheme="minorHAnsi" w:hAnsiTheme="minorHAnsi" w:cstheme="minorHAnsi"/>
        </w:rPr>
      </w:pPr>
      <w:r w:rsidRPr="009D2974">
        <w:rPr>
          <w:rFonts w:asciiTheme="minorHAnsi" w:hAnsiTheme="minorHAnsi" w:cstheme="minorHAnsi"/>
        </w:rPr>
        <w:t xml:space="preserve">Leurs gérants y investissent une part de leur patrimoine et prélèvent des commissions très importantes en fonction de la surperformance du fonds. Cela les incite à </w:t>
      </w:r>
      <w:r w:rsidRPr="009D2974">
        <w:rPr>
          <w:rFonts w:asciiTheme="minorHAnsi" w:eastAsiaTheme="majorEastAsia" w:hAnsiTheme="minorHAnsi" w:cstheme="minorHAnsi"/>
        </w:rPr>
        <w:t>faire prendre aux fonds des risques de marché importants</w:t>
      </w:r>
      <w:r w:rsidRPr="009D2974">
        <w:rPr>
          <w:rFonts w:asciiTheme="minorHAnsi" w:hAnsiTheme="minorHAnsi" w:cstheme="minorHAnsi"/>
        </w:rPr>
        <w:t>.</w:t>
      </w:r>
    </w:p>
    <w:p w:rsidR="009D2974" w:rsidRPr="009D2974" w:rsidRDefault="009D2974" w:rsidP="009D2974">
      <w:pPr>
        <w:jc w:val="both"/>
        <w:rPr>
          <w:rFonts w:asciiTheme="minorHAnsi" w:hAnsiTheme="minorHAnsi" w:cstheme="minorHAnsi"/>
        </w:rPr>
      </w:pPr>
      <w:r w:rsidRPr="009D2974">
        <w:rPr>
          <w:rFonts w:asciiTheme="minorHAnsi" w:hAnsiTheme="minorHAnsi" w:cstheme="minorHAnsi"/>
        </w:rPr>
        <w:t>En général, les investisseurs ayant déposé de l’argent sur ces fonds, ne peuvent réduire leur participation à tout moment mais seulement à certaines périodes prédéterminées.</w:t>
      </w:r>
    </w:p>
    <w:p w:rsidR="009D2974" w:rsidRPr="009D2974" w:rsidRDefault="009D2974" w:rsidP="009D2974">
      <w:pPr>
        <w:jc w:val="both"/>
        <w:rPr>
          <w:rFonts w:asciiTheme="minorHAnsi" w:hAnsiTheme="minorHAnsi" w:cstheme="minorHAnsi"/>
        </w:rPr>
      </w:pPr>
      <w:r w:rsidRPr="009D2974">
        <w:rPr>
          <w:rFonts w:asciiTheme="minorHAnsi" w:hAnsiTheme="minorHAnsi" w:cstheme="minorHAnsi"/>
        </w:rPr>
        <w:t>Au cours des dix dernières années, les hedge funds ont enregistré une croissance rapide. On estime que près de 10 000 fonds sont opérationnels dans le monde et qu’ils gèrent plus de 1 500 milliards de dollars d’actifs, soit plus de 700 % de plus qu’en 1995 !</w:t>
      </w:r>
    </w:p>
    <w:p w:rsidR="009D2974" w:rsidRPr="009D2974" w:rsidRDefault="009D2974" w:rsidP="009D2974">
      <w:pPr>
        <w:jc w:val="both"/>
        <w:rPr>
          <w:rFonts w:asciiTheme="minorHAnsi" w:hAnsiTheme="minorHAnsi" w:cstheme="minorHAnsi"/>
        </w:rPr>
      </w:pPr>
      <w:r w:rsidRPr="009D2974">
        <w:rPr>
          <w:rFonts w:asciiTheme="minorHAnsi" w:hAnsiTheme="minorHAnsi" w:cstheme="minorHAnsi"/>
        </w:rPr>
        <w:t xml:space="preserve">Les hedge funds </w:t>
      </w:r>
      <w:r w:rsidRPr="009D2974">
        <w:rPr>
          <w:rFonts w:asciiTheme="minorHAnsi" w:eastAsiaTheme="majorEastAsia" w:hAnsiTheme="minorHAnsi" w:cstheme="minorHAnsi"/>
        </w:rPr>
        <w:t>représentent aujourd’hui une part significative des transactions sur de nombreux marchés</w:t>
      </w:r>
      <w:r w:rsidRPr="009D2974">
        <w:rPr>
          <w:rFonts w:asciiTheme="minorHAnsi" w:hAnsiTheme="minorHAnsi" w:cstheme="minorHAnsi"/>
        </w:rPr>
        <w:t>. Autrefois petits groupes d’entrepreneurs, ils sont aujourd’hui, le plus souvent, de grandes institutions financières qui emploient des centaines de personnes.</w:t>
      </w:r>
    </w:p>
    <w:p w:rsidR="009D2974" w:rsidRPr="009D2974" w:rsidRDefault="009D2974" w:rsidP="009D2974">
      <w:pPr>
        <w:jc w:val="both"/>
        <w:rPr>
          <w:rFonts w:asciiTheme="minorHAnsi" w:hAnsiTheme="minorHAnsi" w:cstheme="minorHAnsi"/>
        </w:rPr>
      </w:pPr>
      <w:r w:rsidRPr="009D2974">
        <w:rPr>
          <w:rFonts w:asciiTheme="minorHAnsi" w:hAnsiTheme="minorHAnsi" w:cstheme="minorHAnsi"/>
        </w:rPr>
        <w:t xml:space="preserve">Compte tenu de leur importance croissante et de leur spécificité, les hedge funds éveillent des suspicions quant à leur </w:t>
      </w:r>
      <w:r w:rsidRPr="009D2974">
        <w:rPr>
          <w:rFonts w:asciiTheme="minorHAnsi" w:eastAsiaTheme="majorEastAsia" w:hAnsiTheme="minorHAnsi" w:cstheme="minorHAnsi"/>
        </w:rPr>
        <w:t>capacité présumée à déstabiliser les marchés</w:t>
      </w:r>
      <w:r w:rsidRPr="009D2974">
        <w:rPr>
          <w:rFonts w:asciiTheme="minorHAnsi" w:hAnsiTheme="minorHAnsi" w:cstheme="minorHAnsi"/>
        </w:rPr>
        <w:t xml:space="preserve"> voire à leur faire courir un risque systémique. Si ces inquiétudes sont légitimes pour certains, les hedge funds restent néanmoins des fonds d’investissement très rentables pour les investisseurs.</w:t>
      </w:r>
    </w:p>
    <w:p w:rsidR="009D2974" w:rsidRDefault="009D2974" w:rsidP="0087584A">
      <w:pPr>
        <w:rPr>
          <w:rFonts w:asciiTheme="minorHAnsi" w:hAnsiTheme="minorHAnsi" w:cstheme="minorHAnsi"/>
        </w:rPr>
      </w:pPr>
    </w:p>
    <w:p w:rsidR="009D2974" w:rsidRPr="009D2974" w:rsidRDefault="009D2974" w:rsidP="009D2974">
      <w:pPr>
        <w:jc w:val="right"/>
        <w:rPr>
          <w:rFonts w:asciiTheme="minorHAnsi" w:hAnsiTheme="minorHAnsi" w:cstheme="minorHAnsi"/>
          <w:i/>
          <w:sz w:val="20"/>
          <w:szCs w:val="20"/>
        </w:rPr>
      </w:pPr>
      <w:r w:rsidRPr="009D2974">
        <w:rPr>
          <w:rFonts w:asciiTheme="minorHAnsi" w:hAnsiTheme="minorHAnsi" w:cstheme="minorHAnsi"/>
          <w:i/>
          <w:sz w:val="20"/>
          <w:szCs w:val="20"/>
        </w:rPr>
        <w:t xml:space="preserve">La finance pour tous, </w:t>
      </w:r>
      <w:hyperlink r:id="rId12" w:history="1">
        <w:r w:rsidRPr="009D2974">
          <w:rPr>
            <w:rStyle w:val="Lienhypertexte"/>
            <w:rFonts w:asciiTheme="minorHAnsi" w:hAnsiTheme="minorHAnsi" w:cstheme="minorHAnsi"/>
            <w:i/>
            <w:sz w:val="20"/>
            <w:szCs w:val="20"/>
          </w:rPr>
          <w:t>Hedge funds</w:t>
        </w:r>
      </w:hyperlink>
      <w:r w:rsidRPr="009D2974">
        <w:rPr>
          <w:rFonts w:asciiTheme="minorHAnsi" w:hAnsiTheme="minorHAnsi" w:cstheme="minorHAnsi"/>
          <w:i/>
          <w:sz w:val="20"/>
          <w:szCs w:val="20"/>
        </w:rPr>
        <w:t>, 05/07/2019</w:t>
      </w:r>
    </w:p>
    <w:p w:rsidR="009D2974" w:rsidRDefault="009D2974" w:rsidP="0087584A">
      <w:pPr>
        <w:rPr>
          <w:rFonts w:asciiTheme="minorHAnsi" w:hAnsiTheme="minorHAnsi" w:cstheme="minorHAnsi"/>
        </w:rPr>
      </w:pPr>
    </w:p>
    <w:p w:rsidR="00AA6A14" w:rsidRDefault="00AA6A14" w:rsidP="0016103B">
      <w:pPr>
        <w:pStyle w:val="Paragraphedeliste"/>
        <w:numPr>
          <w:ilvl w:val="0"/>
          <w:numId w:val="12"/>
        </w:numPr>
        <w:rPr>
          <w:rFonts w:asciiTheme="minorHAnsi" w:hAnsiTheme="minorHAnsi" w:cstheme="minorHAnsi"/>
        </w:rPr>
      </w:pPr>
      <w:r>
        <w:rPr>
          <w:rFonts w:asciiTheme="minorHAnsi" w:hAnsiTheme="minorHAnsi" w:cstheme="minorHAnsi"/>
        </w:rPr>
        <w:t>Quelle est l’activité des hedge funds ?</w:t>
      </w:r>
    </w:p>
    <w:p w:rsidR="00AA6A14" w:rsidRDefault="00AA6A14" w:rsidP="0016103B">
      <w:pPr>
        <w:pStyle w:val="Paragraphedeliste"/>
        <w:numPr>
          <w:ilvl w:val="0"/>
          <w:numId w:val="12"/>
        </w:numPr>
        <w:rPr>
          <w:rFonts w:asciiTheme="minorHAnsi" w:hAnsiTheme="minorHAnsi" w:cstheme="minorHAnsi"/>
        </w:rPr>
      </w:pPr>
      <w:r>
        <w:rPr>
          <w:rFonts w:asciiTheme="minorHAnsi" w:hAnsiTheme="minorHAnsi" w:cstheme="minorHAnsi"/>
        </w:rPr>
        <w:t>Quelles sont leurs particularités par rapport aux autres fonds d’investissement (« zinzins ») ?</w:t>
      </w:r>
    </w:p>
    <w:p w:rsidR="00AA6A14" w:rsidRPr="00AA6A14" w:rsidRDefault="00AA6A14" w:rsidP="0016103B">
      <w:pPr>
        <w:pStyle w:val="Paragraphedeliste"/>
        <w:numPr>
          <w:ilvl w:val="0"/>
          <w:numId w:val="12"/>
        </w:numPr>
        <w:rPr>
          <w:rFonts w:asciiTheme="minorHAnsi" w:hAnsiTheme="minorHAnsi" w:cstheme="minorHAnsi"/>
        </w:rPr>
      </w:pPr>
      <w:r>
        <w:rPr>
          <w:rFonts w:asciiTheme="minorHAnsi" w:hAnsiTheme="minorHAnsi" w:cstheme="minorHAnsi"/>
        </w:rPr>
        <w:t>Quelle influence exercent-ils sur les marchés financiers ?</w:t>
      </w:r>
    </w:p>
    <w:p w:rsidR="0087584A" w:rsidRPr="0087584A" w:rsidRDefault="0087584A" w:rsidP="0087584A">
      <w:pPr>
        <w:rPr>
          <w:rFonts w:asciiTheme="minorHAnsi" w:hAnsiTheme="minorHAnsi" w:cstheme="minorHAnsi"/>
        </w:rPr>
      </w:pPr>
    </w:p>
    <w:p w:rsidR="00676A63" w:rsidRPr="0087584A" w:rsidRDefault="00676A63" w:rsidP="00676A63">
      <w:pPr>
        <w:rPr>
          <w:rFonts w:asciiTheme="minorHAnsi" w:hAnsiTheme="minorHAnsi" w:cstheme="minorHAnsi"/>
        </w:rPr>
      </w:pPr>
    </w:p>
    <w:p w:rsidR="000C4D35" w:rsidRDefault="000C4D35">
      <w:pPr>
        <w:spacing w:after="200" w:line="276" w:lineRule="auto"/>
        <w:rPr>
          <w:rFonts w:asciiTheme="minorHAnsi" w:hAnsiTheme="minorHAnsi" w:cstheme="minorHAnsi"/>
        </w:rPr>
      </w:pPr>
      <w:r>
        <w:rPr>
          <w:rFonts w:asciiTheme="minorHAnsi" w:hAnsiTheme="minorHAnsi" w:cstheme="minorHAnsi"/>
        </w:rPr>
        <w:br w:type="page"/>
      </w:r>
    </w:p>
    <w:p w:rsidR="000C4D35" w:rsidRPr="0087584A" w:rsidRDefault="000C4D35" w:rsidP="000C4D35">
      <w:pPr>
        <w:rPr>
          <w:rFonts w:asciiTheme="minorHAnsi" w:hAnsiTheme="minorHAnsi" w:cstheme="minorHAnsi"/>
        </w:rPr>
      </w:pPr>
      <w:r w:rsidRPr="0087584A">
        <w:rPr>
          <w:rFonts w:asciiTheme="minorHAnsi" w:hAnsiTheme="minorHAnsi" w:cstheme="minorHAnsi"/>
        </w:rPr>
        <w:lastRenderedPageBreak/>
        <w:t xml:space="preserve">Document </w:t>
      </w:r>
      <w:r>
        <w:rPr>
          <w:rFonts w:asciiTheme="minorHAnsi" w:hAnsiTheme="minorHAnsi" w:cstheme="minorHAnsi"/>
        </w:rPr>
        <w:t>10</w:t>
      </w:r>
      <w:r w:rsidRPr="0087584A">
        <w:rPr>
          <w:rFonts w:asciiTheme="minorHAnsi" w:hAnsiTheme="minorHAnsi" w:cstheme="minorHAnsi"/>
        </w:rPr>
        <w:t xml:space="preserve"> : </w:t>
      </w:r>
      <w:r>
        <w:rPr>
          <w:rFonts w:asciiTheme="minorHAnsi" w:hAnsiTheme="minorHAnsi" w:cstheme="minorHAnsi"/>
        </w:rPr>
        <w:t>L’ampleur des produits dérivés</w:t>
      </w:r>
    </w:p>
    <w:p w:rsidR="0087584A" w:rsidRPr="0087584A" w:rsidRDefault="0087584A" w:rsidP="00676A63">
      <w:pPr>
        <w:rPr>
          <w:rFonts w:asciiTheme="minorHAnsi" w:hAnsiTheme="minorHAnsi" w:cstheme="minorHAnsi"/>
        </w:rPr>
      </w:pPr>
    </w:p>
    <w:p w:rsidR="000C4D35" w:rsidRDefault="000C4D35" w:rsidP="000C4D35">
      <w:pPr>
        <w:jc w:val="both"/>
        <w:rPr>
          <w:rFonts w:asciiTheme="minorHAnsi" w:eastAsiaTheme="majorEastAsia" w:hAnsiTheme="minorHAnsi" w:cstheme="minorHAnsi"/>
        </w:rPr>
      </w:pPr>
      <w:r w:rsidRPr="000C4D35">
        <w:rPr>
          <w:rFonts w:asciiTheme="minorHAnsi" w:eastAsiaTheme="majorEastAsia" w:hAnsiTheme="minorHAnsi" w:cstheme="minorHAnsi"/>
        </w:rPr>
        <w:t xml:space="preserve">Quel est le montant exact de produits dérivés présents en ce moment sur les marchés financiers ? </w:t>
      </w:r>
    </w:p>
    <w:p w:rsidR="000C4D35" w:rsidRPr="000C4D35" w:rsidRDefault="000C4D35" w:rsidP="000C4D35">
      <w:pPr>
        <w:jc w:val="both"/>
        <w:rPr>
          <w:rFonts w:asciiTheme="minorHAnsi" w:hAnsiTheme="minorHAnsi" w:cstheme="minorHAnsi"/>
        </w:rPr>
      </w:pPr>
      <w:r w:rsidRPr="000C4D35">
        <w:rPr>
          <w:rFonts w:asciiTheme="minorHAnsi" w:eastAsiaTheme="majorEastAsia" w:hAnsiTheme="minorHAnsi" w:cstheme="minorHAnsi"/>
        </w:rPr>
        <w:t>La réponse à cette question fait chauffer les calculatrices et les cerveaux, tant on en arrive aux limites de l’entendement humain en matière de mathématiques et de finance.</w:t>
      </w:r>
    </w:p>
    <w:p w:rsidR="000C4D35" w:rsidRPr="000C4D35" w:rsidRDefault="000C4D35" w:rsidP="000C4D35">
      <w:pPr>
        <w:jc w:val="both"/>
        <w:rPr>
          <w:rFonts w:asciiTheme="minorHAnsi" w:hAnsiTheme="minorHAnsi" w:cstheme="minorHAnsi"/>
        </w:rPr>
      </w:pPr>
      <w:r w:rsidRPr="000C4D35">
        <w:rPr>
          <w:rFonts w:asciiTheme="minorHAnsi" w:hAnsiTheme="minorHAnsi" w:cstheme="minorHAnsi"/>
        </w:rPr>
        <w:t>Savez-vous ce que les anglo-saxons entendent par "Quadrillion" ? Un terme mathématique théorique, appliqué aux sciences essentiellement, et à un seul segment des marchés financiers, celui des produits dérivés, selon une enquête de Marketwatch.</w:t>
      </w:r>
    </w:p>
    <w:p w:rsidR="000C4D35" w:rsidRPr="000C4D35" w:rsidRDefault="000C4D35" w:rsidP="000C4D35">
      <w:pPr>
        <w:jc w:val="both"/>
        <w:rPr>
          <w:rFonts w:asciiTheme="minorHAnsi" w:hAnsiTheme="minorHAnsi" w:cstheme="minorHAnsi"/>
        </w:rPr>
      </w:pPr>
      <w:r w:rsidRPr="000C4D35">
        <w:rPr>
          <w:rFonts w:asciiTheme="minorHAnsi" w:hAnsiTheme="minorHAnsi" w:cstheme="minorHAnsi"/>
        </w:rPr>
        <w:t>L’ensemble des encours sur ce type de produit représente… un million de milliards de dollars 1.000.000.000.000.000.000). Un montant incroyable qui pose différents problèmes, ne serait-ce que d’appréhension même de ce qu’il peut représenter. Même poser ce chiffre sur la calculatrice d’un téléphone mobile standard est impossible.</w:t>
      </w:r>
    </w:p>
    <w:p w:rsidR="000C4D35" w:rsidRPr="000C4D35" w:rsidRDefault="000C4D35" w:rsidP="000C4D35">
      <w:pPr>
        <w:jc w:val="both"/>
        <w:rPr>
          <w:rFonts w:asciiTheme="minorHAnsi" w:hAnsiTheme="minorHAnsi" w:cstheme="minorHAnsi"/>
        </w:rPr>
      </w:pPr>
      <w:r w:rsidRPr="000C4D35">
        <w:rPr>
          <w:rFonts w:asciiTheme="minorHAnsi" w:hAnsiTheme="minorHAnsi" w:cstheme="minorHAnsi"/>
        </w:rPr>
        <w:t xml:space="preserve">Du coup, impossible de diviser ce chiffre par quoi que ce soit de représentatif (Rolls Royce, </w:t>
      </w:r>
      <w:r w:rsidRPr="007E56E2">
        <w:rPr>
          <w:rFonts w:asciiTheme="minorHAnsi" w:hAnsiTheme="minorHAnsi" w:cstheme="minorHAnsi"/>
        </w:rPr>
        <w:t>Airbus</w:t>
      </w:r>
      <w:r w:rsidRPr="000C4D35">
        <w:rPr>
          <w:rFonts w:asciiTheme="minorHAnsi" w:hAnsiTheme="minorHAnsi" w:cstheme="minorHAnsi"/>
        </w:rPr>
        <w:t xml:space="preserve"> A 380, réacteurs EPR ou PIB d’un pays), puisque la donnée de base est même impossible à afficher…</w:t>
      </w:r>
    </w:p>
    <w:p w:rsidR="000C4D35" w:rsidRPr="000C4D35" w:rsidRDefault="000C4D35" w:rsidP="000C4D35">
      <w:pPr>
        <w:jc w:val="both"/>
        <w:rPr>
          <w:rFonts w:asciiTheme="minorHAnsi" w:hAnsiTheme="minorHAnsi" w:cstheme="minorHAnsi"/>
        </w:rPr>
      </w:pPr>
      <w:r w:rsidRPr="000C4D35">
        <w:rPr>
          <w:rFonts w:asciiTheme="minorHAnsi" w:hAnsiTheme="minorHAnsi" w:cstheme="minorHAnsi"/>
        </w:rPr>
        <w:t>Et pourtant, c’est la somme totale des produits dérivés qui existent sur le marché. 1,2 "Quadrillion" très précisément, soit 1.200.000.000.000.000.000 dollars. Largement plus que l’ensemble des pièces, billets et comptes de dépôt cash de l’ensemble de la planète, estimés à 81.000.000.000.000 dollars (81 "Trillions")</w:t>
      </w:r>
    </w:p>
    <w:p w:rsidR="000C4D35" w:rsidRPr="000C4D35" w:rsidRDefault="000C4D35" w:rsidP="000C4D35">
      <w:pPr>
        <w:jc w:val="both"/>
        <w:rPr>
          <w:rFonts w:asciiTheme="minorHAnsi" w:hAnsiTheme="minorHAnsi" w:cstheme="minorHAnsi"/>
        </w:rPr>
      </w:pPr>
      <w:r w:rsidRPr="000C4D35">
        <w:rPr>
          <w:rFonts w:asciiTheme="minorHAnsi" w:hAnsiTheme="minorHAnsi" w:cstheme="minorHAnsi"/>
        </w:rPr>
        <w:t>Et bien au-delà de toutes les entreprises et entités cotées sur l’ensemble des places boursières mondiales (70.000.000.000.000 dollars au total, 70 "Trillions"). Un chiffre vertigineux donc, qui exprime également l’engouement et la frénésie qui entoure ce marché.</w:t>
      </w:r>
    </w:p>
    <w:p w:rsidR="000C4D35" w:rsidRPr="000C4D35" w:rsidRDefault="000C4D35" w:rsidP="000C4D35">
      <w:pPr>
        <w:jc w:val="both"/>
        <w:rPr>
          <w:rFonts w:asciiTheme="minorHAnsi" w:hAnsiTheme="minorHAnsi" w:cstheme="minorHAnsi"/>
        </w:rPr>
      </w:pPr>
      <w:r w:rsidRPr="000C4D35">
        <w:rPr>
          <w:rFonts w:asciiTheme="minorHAnsi" w:hAnsiTheme="minorHAnsi" w:cstheme="minorHAnsi"/>
        </w:rPr>
        <w:t>Preuve aussi combien les investisseurs sont plus friands de produits dérivés (options, ETF, swaps, etc…) que des actifs calculés en sous-jacent (Actions, obligations, matières premières, taux, etc).</w:t>
      </w:r>
    </w:p>
    <w:p w:rsidR="000C4D35" w:rsidRPr="000C4D35" w:rsidRDefault="000C4D35" w:rsidP="000C4D35">
      <w:pPr>
        <w:jc w:val="both"/>
        <w:rPr>
          <w:rFonts w:asciiTheme="minorHAnsi" w:hAnsiTheme="minorHAnsi" w:cstheme="minorHAnsi"/>
        </w:rPr>
      </w:pPr>
      <w:r w:rsidRPr="000C4D35">
        <w:rPr>
          <w:rFonts w:asciiTheme="minorHAnsi" w:hAnsiTheme="minorHAnsi" w:cstheme="minorHAnsi"/>
        </w:rPr>
        <w:t>Déjà parce que techniquement, parier sur une option permet de maximiser les gains, par rapport à un investissement dans un actif lambda. On bénéficie d’un effet de levier et de choix multiples, pour maximiser ses profits. Ensuite ce sont les techniques qui ont évolué.</w:t>
      </w:r>
      <w:r>
        <w:rPr>
          <w:rFonts w:asciiTheme="minorHAnsi" w:hAnsiTheme="minorHAnsi" w:cstheme="minorHAnsi"/>
        </w:rPr>
        <w:t>[…]</w:t>
      </w:r>
    </w:p>
    <w:p w:rsidR="000C4D35" w:rsidRPr="000C4D35" w:rsidRDefault="006838E1" w:rsidP="000C4D35">
      <w:pPr>
        <w:jc w:val="both"/>
        <w:rPr>
          <w:rFonts w:asciiTheme="minorHAnsi" w:hAnsiTheme="minorHAnsi" w:cstheme="minorHAnsi"/>
        </w:rPr>
      </w:pPr>
      <w:r w:rsidRPr="006838E1">
        <w:rPr>
          <w:rFonts w:asciiTheme="minorHAnsi" w:hAnsiTheme="minorHAnsi" w:cstheme="minorHAnsi"/>
        </w:rPr>
        <w:t>Il y a de forte chance que les encours de ces produits dérivés continuent de progresser.</w:t>
      </w:r>
      <w:r>
        <w:rPr>
          <w:rFonts w:asciiTheme="minorHAnsi" w:hAnsiTheme="minorHAnsi" w:cstheme="minorHAnsi"/>
        </w:rPr>
        <w:t xml:space="preserve"> </w:t>
      </w:r>
      <w:r w:rsidR="000C4D35" w:rsidRPr="000C4D35">
        <w:rPr>
          <w:rFonts w:asciiTheme="minorHAnsi" w:hAnsiTheme="minorHAnsi" w:cstheme="minorHAnsi"/>
        </w:rPr>
        <w:t>Soulevant quelques inquiétudes, du fait de la masse inimaginable qu’ils constituent, et de l’aspect systémique de cet océan de produits financiers.</w:t>
      </w:r>
    </w:p>
    <w:p w:rsidR="000C4D35" w:rsidRPr="000C4D35" w:rsidRDefault="000C4D35" w:rsidP="000C4D35">
      <w:pPr>
        <w:jc w:val="both"/>
        <w:rPr>
          <w:rFonts w:asciiTheme="minorHAnsi" w:hAnsiTheme="minorHAnsi" w:cstheme="minorHAnsi"/>
        </w:rPr>
      </w:pPr>
      <w:r w:rsidRPr="000C4D35">
        <w:rPr>
          <w:rFonts w:asciiTheme="minorHAnsi" w:hAnsiTheme="minorHAnsi" w:cstheme="minorHAnsi"/>
        </w:rPr>
        <w:t>L’inconvénient est le lien étroit qui relie des classes d’actifs très disparates, mais qui au final pose la question centrale : qui payera et qui sera en mesure de payer en cas d’effondrement ?</w:t>
      </w:r>
    </w:p>
    <w:p w:rsidR="000C4D35" w:rsidRPr="000C4D35" w:rsidRDefault="000C4D35" w:rsidP="000C4D35">
      <w:pPr>
        <w:jc w:val="both"/>
        <w:rPr>
          <w:rFonts w:asciiTheme="minorHAnsi" w:hAnsiTheme="minorHAnsi" w:cstheme="minorHAnsi"/>
        </w:rPr>
      </w:pPr>
      <w:r w:rsidRPr="000C4D35">
        <w:rPr>
          <w:rFonts w:asciiTheme="minorHAnsi" w:hAnsiTheme="minorHAnsi" w:cstheme="minorHAnsi"/>
        </w:rPr>
        <w:t>De nature toujours très volatile et de qualité très diverse, beaucoup d’observateurs estiment que si une nouvelle crise financière devait arriver, les dérivés en seraient l’instrument principal, et deviendraient rapidement une menace pour l’équilibre économique mondial.</w:t>
      </w:r>
    </w:p>
    <w:p w:rsidR="0087584A" w:rsidRDefault="0087584A" w:rsidP="00676A63">
      <w:pPr>
        <w:rPr>
          <w:rFonts w:asciiTheme="minorHAnsi" w:hAnsiTheme="minorHAnsi" w:cstheme="minorHAnsi"/>
        </w:rPr>
      </w:pPr>
    </w:p>
    <w:p w:rsidR="000C4D35" w:rsidRPr="007E56E2" w:rsidRDefault="000C4D35" w:rsidP="007E56E2">
      <w:pPr>
        <w:jc w:val="right"/>
        <w:rPr>
          <w:rFonts w:asciiTheme="minorHAnsi" w:hAnsiTheme="minorHAnsi" w:cstheme="minorHAnsi"/>
          <w:i/>
          <w:sz w:val="20"/>
          <w:szCs w:val="20"/>
        </w:rPr>
      </w:pPr>
      <w:r w:rsidRPr="007E56E2">
        <w:rPr>
          <w:rFonts w:asciiTheme="minorHAnsi" w:hAnsiTheme="minorHAnsi" w:cstheme="minorHAnsi"/>
          <w:i/>
          <w:sz w:val="20"/>
          <w:szCs w:val="20"/>
        </w:rPr>
        <w:t xml:space="preserve">Antoine Larigaudrie, </w:t>
      </w:r>
      <w:hyperlink r:id="rId13" w:history="1">
        <w:r w:rsidR="007E56E2" w:rsidRPr="007E56E2">
          <w:rPr>
            <w:rStyle w:val="Lienhypertexte"/>
            <w:rFonts w:asciiTheme="minorHAnsi" w:hAnsiTheme="minorHAnsi" w:cstheme="minorHAnsi"/>
            <w:i/>
            <w:sz w:val="20"/>
            <w:szCs w:val="20"/>
          </w:rPr>
          <w:t>Les chiffres inimaginables du marché des produits dérivés</w:t>
        </w:r>
      </w:hyperlink>
      <w:r w:rsidR="007E56E2">
        <w:rPr>
          <w:rFonts w:asciiTheme="minorHAnsi" w:hAnsiTheme="minorHAnsi" w:cstheme="minorHAnsi"/>
          <w:i/>
          <w:sz w:val="20"/>
          <w:szCs w:val="20"/>
        </w:rPr>
        <w:t xml:space="preserve">, </w:t>
      </w:r>
      <w:r w:rsidRPr="007E56E2">
        <w:rPr>
          <w:rFonts w:asciiTheme="minorHAnsi" w:hAnsiTheme="minorHAnsi" w:cstheme="minorHAnsi"/>
          <w:i/>
          <w:sz w:val="20"/>
          <w:szCs w:val="20"/>
        </w:rPr>
        <w:t>BFM Bourse, le 16/05/2016</w:t>
      </w:r>
    </w:p>
    <w:p w:rsidR="0087584A" w:rsidRDefault="0087584A" w:rsidP="00676A63">
      <w:pPr>
        <w:rPr>
          <w:rFonts w:asciiTheme="minorHAnsi" w:hAnsiTheme="minorHAnsi" w:cstheme="minorHAnsi"/>
        </w:rPr>
      </w:pPr>
    </w:p>
    <w:p w:rsidR="006838E1" w:rsidRDefault="006838E1" w:rsidP="0016103B">
      <w:pPr>
        <w:pStyle w:val="Paragraphedeliste"/>
        <w:numPr>
          <w:ilvl w:val="0"/>
          <w:numId w:val="9"/>
        </w:numPr>
        <w:rPr>
          <w:rFonts w:asciiTheme="minorHAnsi" w:hAnsiTheme="minorHAnsi" w:cstheme="minorHAnsi"/>
        </w:rPr>
      </w:pPr>
      <w:r>
        <w:rPr>
          <w:rFonts w:asciiTheme="minorHAnsi" w:hAnsiTheme="minorHAnsi" w:cstheme="minorHAnsi"/>
        </w:rPr>
        <w:t>Le montant des produits dérivés sont-ils importants ?</w:t>
      </w:r>
    </w:p>
    <w:p w:rsidR="006838E1" w:rsidRDefault="006838E1" w:rsidP="0016103B">
      <w:pPr>
        <w:pStyle w:val="Paragraphedeliste"/>
        <w:numPr>
          <w:ilvl w:val="0"/>
          <w:numId w:val="9"/>
        </w:numPr>
        <w:rPr>
          <w:rFonts w:asciiTheme="minorHAnsi" w:hAnsiTheme="minorHAnsi" w:cstheme="minorHAnsi"/>
        </w:rPr>
      </w:pPr>
      <w:r>
        <w:rPr>
          <w:rFonts w:asciiTheme="minorHAnsi" w:hAnsiTheme="minorHAnsi" w:cstheme="minorHAnsi"/>
        </w:rPr>
        <w:t>Comment expliquer l’évolution de ces montants.</w:t>
      </w:r>
    </w:p>
    <w:p w:rsidR="006838E1" w:rsidRPr="006838E1" w:rsidRDefault="006838E1" w:rsidP="0016103B">
      <w:pPr>
        <w:pStyle w:val="Paragraphedeliste"/>
        <w:numPr>
          <w:ilvl w:val="0"/>
          <w:numId w:val="9"/>
        </w:numPr>
        <w:rPr>
          <w:rFonts w:asciiTheme="minorHAnsi" w:hAnsiTheme="minorHAnsi" w:cstheme="minorHAnsi"/>
        </w:rPr>
      </w:pPr>
      <w:r>
        <w:rPr>
          <w:rFonts w:asciiTheme="minorHAnsi" w:hAnsiTheme="minorHAnsi" w:cstheme="minorHAnsi"/>
        </w:rPr>
        <w:t>Quels risques font courir ces produits dérivés au système financier ?</w:t>
      </w:r>
    </w:p>
    <w:p w:rsidR="0087584A" w:rsidRDefault="0087584A" w:rsidP="00676A63">
      <w:pPr>
        <w:rPr>
          <w:rFonts w:asciiTheme="minorHAnsi" w:hAnsiTheme="minorHAnsi" w:cstheme="minorHAnsi"/>
        </w:rPr>
      </w:pPr>
    </w:p>
    <w:p w:rsidR="009C4B50" w:rsidRPr="009C4B50" w:rsidRDefault="009C4B50" w:rsidP="009C4B50">
      <w:pPr>
        <w:jc w:val="both"/>
        <w:rPr>
          <w:rFonts w:asciiTheme="minorHAnsi" w:hAnsiTheme="minorHAnsi" w:cstheme="minorHAnsi"/>
        </w:rPr>
      </w:pPr>
    </w:p>
    <w:p w:rsidR="00B46F1F" w:rsidRDefault="00B46F1F">
      <w:pPr>
        <w:spacing w:after="200" w:line="276" w:lineRule="auto"/>
        <w:rPr>
          <w:rFonts w:asciiTheme="minorHAnsi" w:hAnsiTheme="minorHAnsi" w:cstheme="minorHAnsi"/>
        </w:rPr>
      </w:pPr>
      <w:r>
        <w:rPr>
          <w:rFonts w:asciiTheme="minorHAnsi" w:hAnsiTheme="minorHAnsi" w:cstheme="minorHAnsi"/>
        </w:rPr>
        <w:br w:type="page"/>
      </w:r>
    </w:p>
    <w:p w:rsidR="009C4B50" w:rsidRPr="009C4B50" w:rsidRDefault="009C4B50" w:rsidP="009C4B50">
      <w:pPr>
        <w:jc w:val="both"/>
        <w:rPr>
          <w:rFonts w:asciiTheme="minorHAnsi" w:hAnsiTheme="minorHAnsi" w:cstheme="minorHAnsi"/>
        </w:rPr>
      </w:pPr>
      <w:r w:rsidRPr="009C4B50">
        <w:rPr>
          <w:rFonts w:asciiTheme="minorHAnsi" w:hAnsiTheme="minorHAnsi" w:cstheme="minorHAnsi"/>
        </w:rPr>
        <w:lastRenderedPageBreak/>
        <w:t>Document 1</w:t>
      </w:r>
      <w:r>
        <w:rPr>
          <w:rFonts w:asciiTheme="minorHAnsi" w:hAnsiTheme="minorHAnsi" w:cstheme="minorHAnsi"/>
        </w:rPr>
        <w:t>1</w:t>
      </w:r>
      <w:r w:rsidRPr="009C4B50">
        <w:rPr>
          <w:rFonts w:asciiTheme="minorHAnsi" w:hAnsiTheme="minorHAnsi" w:cstheme="minorHAnsi"/>
        </w:rPr>
        <w:t> : Les agences de notation</w:t>
      </w:r>
    </w:p>
    <w:p w:rsidR="009C4B50" w:rsidRPr="009C4B50" w:rsidRDefault="009C4B50" w:rsidP="009C4B50">
      <w:pPr>
        <w:jc w:val="both"/>
        <w:rPr>
          <w:rFonts w:asciiTheme="minorHAnsi" w:hAnsiTheme="minorHAnsi" w:cstheme="minorHAnsi"/>
        </w:rPr>
      </w:pPr>
    </w:p>
    <w:p w:rsidR="009C4B50" w:rsidRPr="009C4B50" w:rsidRDefault="009C4B50" w:rsidP="009C4B50">
      <w:pPr>
        <w:jc w:val="both"/>
        <w:rPr>
          <w:rFonts w:asciiTheme="minorHAnsi" w:hAnsiTheme="minorHAnsi" w:cstheme="minorHAnsi"/>
        </w:rPr>
      </w:pPr>
      <w:r w:rsidRPr="009C4B50">
        <w:rPr>
          <w:rFonts w:asciiTheme="minorHAnsi" w:hAnsiTheme="minorHAnsi" w:cstheme="minorHAnsi"/>
        </w:rPr>
        <w:t>À L'origine de ces institutions, un krach, déjà. La panique bancaire de 1907 ayant poussé son entreprise de "diagnostic crédit" à la faillite, l'Américain John Moody crée, en 1909, la notation de la dette. Dès la seconde moitié du XIXe siècle, les analystes évaluent les risques pris par les créanciers et indiquent quelle est la probabilité pour que l'entreprise ne rembourse pas sa dette. Plus le risque est élevé, plus le créancier prête de l'argent à taux élevé. John Moody, lui, à l'idée d'attribuer - comme à l'école - une note résumant en un coup d'œil le risque pris par les créanciers. La société Poor, l'ancêtre de Standard &amp; Poor's (S&amp;P), suit en 1916 et Fitch en 1924. D'abord centrées sur les entreprises, les agences notent les États à partir de 1918. Aujourd'hui, S&amp;P, la plus influente, note 126 États. "Environ 15 % de leurs revenus proviennent de la notation d'émetteurs publics", explique Norbert Gaillard, auteur du livre Les Agences de notation (La Découverte, 2010). C'est l'État qui rémunère le travail d'une agence la plupart du temps, la notation étant censée faire œuvre de transparence, "pour une somme variant entre quelque dizaines de milliers de dollars par an à quelques centaines de milliers de dollars". Les américaines Standard &amp; Poor's, Moody's et la franco-américaine Fitch contrôlent la quasi-totalité du marché.</w:t>
      </w:r>
    </w:p>
    <w:p w:rsidR="009C4B50" w:rsidRPr="009C4B50" w:rsidRDefault="009C4B50" w:rsidP="009C4B50">
      <w:pPr>
        <w:jc w:val="center"/>
        <w:rPr>
          <w:rFonts w:asciiTheme="minorHAnsi" w:hAnsiTheme="minorHAnsi" w:cstheme="minorHAnsi"/>
        </w:rPr>
      </w:pPr>
      <w:r w:rsidRPr="009C4B50">
        <w:rPr>
          <w:rFonts w:asciiTheme="minorHAnsi" w:hAnsiTheme="minorHAnsi" w:cstheme="minorHAnsi"/>
          <w:noProof/>
        </w:rPr>
        <w:drawing>
          <wp:inline distT="0" distB="0" distL="0" distR="0">
            <wp:extent cx="5208270" cy="1228725"/>
            <wp:effectExtent l="1905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srcRect/>
                    <a:stretch>
                      <a:fillRect/>
                    </a:stretch>
                  </pic:blipFill>
                  <pic:spPr bwMode="auto">
                    <a:xfrm>
                      <a:off x="0" y="0"/>
                      <a:ext cx="5208270" cy="1228725"/>
                    </a:xfrm>
                    <a:prstGeom prst="rect">
                      <a:avLst/>
                    </a:prstGeom>
                    <a:noFill/>
                    <a:ln w="9525">
                      <a:noFill/>
                      <a:miter lim="800000"/>
                      <a:headEnd/>
                      <a:tailEnd/>
                    </a:ln>
                  </pic:spPr>
                </pic:pic>
              </a:graphicData>
            </a:graphic>
          </wp:inline>
        </w:drawing>
      </w:r>
    </w:p>
    <w:p w:rsidR="009C4B50" w:rsidRDefault="009C4B50" w:rsidP="009C4B50">
      <w:pPr>
        <w:jc w:val="both"/>
        <w:rPr>
          <w:rFonts w:asciiTheme="minorHAnsi" w:hAnsiTheme="minorHAnsi" w:cstheme="minorHAnsi"/>
        </w:rPr>
      </w:pPr>
    </w:p>
    <w:p w:rsidR="009C4B50" w:rsidRPr="009C4B50" w:rsidRDefault="009C4B50" w:rsidP="009C4B50">
      <w:pPr>
        <w:jc w:val="right"/>
        <w:rPr>
          <w:rFonts w:asciiTheme="minorHAnsi" w:hAnsiTheme="minorHAnsi" w:cstheme="minorHAnsi"/>
          <w:i/>
          <w:sz w:val="20"/>
          <w:szCs w:val="20"/>
        </w:rPr>
      </w:pPr>
      <w:r w:rsidRPr="009C4B50">
        <w:rPr>
          <w:rFonts w:asciiTheme="minorHAnsi" w:hAnsiTheme="minorHAnsi" w:cstheme="minorHAnsi"/>
          <w:i/>
          <w:sz w:val="20"/>
          <w:szCs w:val="20"/>
        </w:rPr>
        <w:t>Clément Lacombe et Alain Faujas, « Les mots de la crise », Le Monde, 12 août 2011.</w:t>
      </w:r>
    </w:p>
    <w:p w:rsidR="009C4B50" w:rsidRPr="009C4B50" w:rsidRDefault="009C4B50" w:rsidP="009C4B50">
      <w:pPr>
        <w:jc w:val="both"/>
        <w:rPr>
          <w:rFonts w:asciiTheme="minorHAnsi" w:hAnsiTheme="minorHAnsi" w:cstheme="minorHAnsi"/>
        </w:rPr>
      </w:pPr>
    </w:p>
    <w:p w:rsidR="009C4B50" w:rsidRPr="009C4B50" w:rsidRDefault="009C4B50" w:rsidP="0016103B">
      <w:pPr>
        <w:pStyle w:val="Paragraphedeliste"/>
        <w:numPr>
          <w:ilvl w:val="0"/>
          <w:numId w:val="10"/>
        </w:numPr>
        <w:jc w:val="both"/>
        <w:rPr>
          <w:rFonts w:asciiTheme="minorHAnsi" w:hAnsiTheme="minorHAnsi" w:cstheme="minorHAnsi"/>
        </w:rPr>
      </w:pPr>
      <w:r w:rsidRPr="009C4B50">
        <w:rPr>
          <w:rFonts w:asciiTheme="minorHAnsi" w:hAnsiTheme="minorHAnsi" w:cstheme="minorHAnsi"/>
        </w:rPr>
        <w:t>Quelle est la fonction des agences de notation sur les marchés financiers ?</w:t>
      </w:r>
    </w:p>
    <w:p w:rsidR="009C4B50" w:rsidRPr="009C4B50" w:rsidRDefault="009C4B50" w:rsidP="0016103B">
      <w:pPr>
        <w:pStyle w:val="Paragraphedeliste"/>
        <w:numPr>
          <w:ilvl w:val="0"/>
          <w:numId w:val="10"/>
        </w:numPr>
        <w:jc w:val="both"/>
        <w:rPr>
          <w:rFonts w:asciiTheme="minorHAnsi" w:hAnsiTheme="minorHAnsi" w:cstheme="minorHAnsi"/>
        </w:rPr>
      </w:pPr>
      <w:r w:rsidRPr="009C4B50">
        <w:rPr>
          <w:rFonts w:asciiTheme="minorHAnsi" w:hAnsiTheme="minorHAnsi" w:cstheme="minorHAnsi"/>
        </w:rPr>
        <w:t>Que se passe-t-il si la note d'un État ou d'une entreprise est dégradée ?</w:t>
      </w:r>
    </w:p>
    <w:p w:rsidR="009C4B50" w:rsidRPr="009C4B50" w:rsidRDefault="009C4B50" w:rsidP="0016103B">
      <w:pPr>
        <w:pStyle w:val="Paragraphedeliste"/>
        <w:numPr>
          <w:ilvl w:val="0"/>
          <w:numId w:val="10"/>
        </w:numPr>
        <w:jc w:val="both"/>
        <w:rPr>
          <w:rFonts w:asciiTheme="minorHAnsi" w:hAnsiTheme="minorHAnsi" w:cstheme="minorHAnsi"/>
        </w:rPr>
      </w:pPr>
      <w:r w:rsidRPr="009C4B50">
        <w:rPr>
          <w:rFonts w:asciiTheme="minorHAnsi" w:hAnsiTheme="minorHAnsi" w:cstheme="minorHAnsi"/>
        </w:rPr>
        <w:t>Quel est le statut des agences de notation ? D'où viennent leurs revenus?</w:t>
      </w:r>
    </w:p>
    <w:p w:rsidR="009C4B50" w:rsidRDefault="009C4B50" w:rsidP="009C4B50"/>
    <w:p w:rsidR="009C4B50" w:rsidRDefault="009C4B50" w:rsidP="00676A63">
      <w:pPr>
        <w:rPr>
          <w:rFonts w:asciiTheme="minorHAnsi" w:hAnsiTheme="minorHAnsi" w:cstheme="minorHAnsi"/>
        </w:rPr>
      </w:pPr>
    </w:p>
    <w:p w:rsidR="009C4B50" w:rsidRPr="0087584A" w:rsidRDefault="009C4B50" w:rsidP="00676A63">
      <w:pPr>
        <w:rPr>
          <w:rFonts w:asciiTheme="minorHAnsi" w:hAnsiTheme="minorHAnsi" w:cstheme="minorHAnsi"/>
        </w:rPr>
      </w:pPr>
    </w:p>
    <w:p w:rsidR="008F08D7" w:rsidRPr="00053DC6" w:rsidRDefault="008F08D7" w:rsidP="00360958">
      <w:pPr>
        <w:rPr>
          <w:rFonts w:asciiTheme="minorHAnsi" w:hAnsiTheme="minorHAnsi" w:cstheme="minorHAnsi"/>
        </w:rPr>
      </w:pPr>
      <w:r w:rsidRPr="00053DC6">
        <w:rPr>
          <w:rFonts w:asciiTheme="minorHAnsi" w:hAnsiTheme="minorHAnsi" w:cstheme="minorHAnsi"/>
        </w:rPr>
        <w:br w:type="page"/>
      </w:r>
    </w:p>
    <w:p w:rsidR="00E61E55" w:rsidRPr="00506EBE" w:rsidRDefault="00E61E55" w:rsidP="00E61E55">
      <w:pPr>
        <w:pBdr>
          <w:bottom w:val="single" w:sz="4" w:space="1" w:color="auto"/>
        </w:pBdr>
        <w:jc w:val="center"/>
        <w:rPr>
          <w:rFonts w:ascii="Calibri Light" w:hAnsi="Calibri Light"/>
          <w:b/>
          <w:color w:val="000000" w:themeColor="text1"/>
          <w:sz w:val="32"/>
          <w:szCs w:val="32"/>
        </w:rPr>
      </w:pPr>
      <w:r>
        <w:rPr>
          <w:rFonts w:ascii="Calibri Light" w:hAnsi="Calibri Light" w:cs="Calibri Light"/>
          <w:b/>
          <w:color w:val="000000" w:themeColor="text1"/>
          <w:sz w:val="32"/>
          <w:szCs w:val="32"/>
        </w:rPr>
        <w:lastRenderedPageBreak/>
        <w:t>É</w:t>
      </w:r>
      <w:r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2</w:t>
      </w:r>
      <w:r w:rsidRPr="00506EBE">
        <w:rPr>
          <w:rFonts w:ascii="Calibri Light" w:hAnsi="Calibri Light"/>
          <w:b/>
          <w:color w:val="000000" w:themeColor="text1"/>
          <w:sz w:val="32"/>
          <w:szCs w:val="32"/>
        </w:rPr>
        <w:t> : Tâche finale (</w:t>
      </w:r>
      <w:r w:rsidR="00773C57">
        <w:rPr>
          <w:rFonts w:ascii="Calibri Light" w:hAnsi="Calibri Light"/>
          <w:b/>
          <w:color w:val="000000" w:themeColor="text1"/>
          <w:sz w:val="32"/>
          <w:szCs w:val="32"/>
        </w:rPr>
        <w:t>1</w:t>
      </w:r>
      <w:r w:rsidR="00F35289">
        <w:rPr>
          <w:rFonts w:ascii="Calibri Light" w:hAnsi="Calibri Light"/>
          <w:b/>
          <w:color w:val="000000" w:themeColor="text1"/>
          <w:sz w:val="32"/>
          <w:szCs w:val="32"/>
        </w:rPr>
        <w:t xml:space="preserve"> h</w:t>
      </w:r>
      <w:r w:rsidRPr="00506EBE">
        <w:rPr>
          <w:rFonts w:ascii="Calibri Light" w:hAnsi="Calibri Light"/>
          <w:b/>
          <w:color w:val="000000" w:themeColor="text1"/>
          <w:sz w:val="32"/>
          <w:szCs w:val="32"/>
        </w:rPr>
        <w:t>)</w:t>
      </w:r>
    </w:p>
    <w:p w:rsidR="008724F3" w:rsidRDefault="008724F3" w:rsidP="00F35289">
      <w:pPr>
        <w:jc w:val="center"/>
        <w:rPr>
          <w:rFonts w:asciiTheme="minorHAnsi" w:hAnsiTheme="minorHAnsi" w:cstheme="minorHAnsi"/>
          <w:b/>
        </w:rPr>
      </w:pPr>
    </w:p>
    <w:p w:rsidR="008724F3" w:rsidRDefault="008724F3" w:rsidP="00F35289">
      <w:pPr>
        <w:jc w:val="center"/>
        <w:rPr>
          <w:rFonts w:asciiTheme="minorHAnsi" w:hAnsiTheme="minorHAnsi" w:cstheme="minorHAnsi"/>
          <w:b/>
        </w:rPr>
      </w:pPr>
    </w:p>
    <w:p w:rsidR="00F35289" w:rsidRPr="008724F3" w:rsidRDefault="00C7515C" w:rsidP="00F35289">
      <w:pPr>
        <w:jc w:val="center"/>
        <w:rPr>
          <w:rFonts w:asciiTheme="minorHAnsi" w:hAnsiTheme="minorHAnsi" w:cstheme="minorHAnsi"/>
          <w:b/>
        </w:rPr>
      </w:pPr>
      <w:r>
        <w:rPr>
          <w:rFonts w:asciiTheme="minorHAnsi" w:hAnsiTheme="minorHAnsi" w:cstheme="minorHAnsi"/>
          <w:b/>
        </w:rPr>
        <w:t>Synthèse</w:t>
      </w:r>
    </w:p>
    <w:p w:rsidR="00F35289" w:rsidRPr="008724F3" w:rsidRDefault="00F35289" w:rsidP="001F5F95">
      <w:pPr>
        <w:rPr>
          <w:rFonts w:asciiTheme="minorHAnsi" w:hAnsiTheme="minorHAnsi" w:cstheme="minorHAnsi"/>
        </w:rPr>
      </w:pPr>
    </w:p>
    <w:p w:rsidR="009E694C" w:rsidRPr="008724F3" w:rsidRDefault="00547027" w:rsidP="00342B9C">
      <w:pPr>
        <w:jc w:val="both"/>
        <w:rPr>
          <w:rFonts w:asciiTheme="minorHAnsi" w:hAnsiTheme="minorHAnsi" w:cstheme="minorHAnsi"/>
        </w:rPr>
      </w:pPr>
      <w:r>
        <w:rPr>
          <w:rFonts w:asciiTheme="minorHAnsi" w:hAnsiTheme="minorHAnsi" w:cstheme="minorHAnsi"/>
        </w:rPr>
        <w:t>Réalisez un schéma représentant les différents marchés constitutifs du système financier mondial, les actifs que l’on y trouve ainsi que les acteurs qui les animent</w:t>
      </w:r>
      <w:r w:rsidR="00032F6E">
        <w:rPr>
          <w:rFonts w:asciiTheme="minorHAnsi" w:hAnsiTheme="minorHAnsi" w:cstheme="minorHAnsi"/>
        </w:rPr>
        <w:t>.</w:t>
      </w:r>
    </w:p>
    <w:sectPr w:rsidR="009E694C" w:rsidRPr="008724F3" w:rsidSect="00065A3F">
      <w:headerReference w:type="default" r:id="rId15"/>
      <w:footerReference w:type="default" r:id="rId16"/>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4D0D" w:rsidRDefault="008B4D0D" w:rsidP="00F35289">
      <w:r>
        <w:separator/>
      </w:r>
    </w:p>
  </w:endnote>
  <w:endnote w:type="continuationSeparator" w:id="0">
    <w:p w:rsidR="008B4D0D" w:rsidRDefault="008B4D0D" w:rsidP="00F3528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DemiBold">
    <w:altName w:val="Times New Roman"/>
    <w:panose1 w:val="00000000000000000000"/>
    <w:charset w:val="00"/>
    <w:family w:val="roman"/>
    <w:notTrueType/>
    <w:pitch w:val="default"/>
    <w:sig w:usb0="00000000" w:usb1="00000000" w:usb2="00000000" w:usb3="00000000" w:csb0="00000000" w:csb1="00000000"/>
  </w:font>
  <w:font w:name="TimesNewRomanPS-ItalicMT">
    <w:altName w:val="Times New Roman"/>
    <w:panose1 w:val="00000000000000000000"/>
    <w:charset w:val="00"/>
    <w:family w:val="roman"/>
    <w:notTrueType/>
    <w:pitch w:val="default"/>
    <w:sig w:usb0="00000000" w:usb1="00000000" w:usb2="00000000" w:usb3="00000000" w:csb0="00000000" w:csb1="00000000"/>
  </w:font>
  <w:font w:name="ArialNarrow-Bold">
    <w:altName w:val="Times New Roman"/>
    <w:panose1 w:val="00000000000000000000"/>
    <w:charset w:val="00"/>
    <w:family w:val="roman"/>
    <w:notTrueType/>
    <w:pitch w:val="default"/>
    <w:sig w:usb0="00000000" w:usb1="00000000" w:usb2="00000000" w:usb3="00000000" w:csb0="00000000"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Arial-ItalicM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5DA" w:rsidRPr="00F85513" w:rsidRDefault="00E755DA" w:rsidP="005F68EC">
    <w:pPr>
      <w:pStyle w:val="En-tte"/>
      <w:pBdr>
        <w:bottom w:val="single" w:sz="12" w:space="1" w:color="auto"/>
      </w:pBdr>
      <w:jc w:val="right"/>
      <w:rPr>
        <w:sz w:val="16"/>
        <w:szCs w:val="16"/>
      </w:rPr>
    </w:pPr>
  </w:p>
  <w:p w:rsidR="00E755DA" w:rsidRDefault="00E755DA" w:rsidP="00065A3F">
    <w:pPr>
      <w:pStyle w:val="Pieddepage"/>
      <w:jc w:val="right"/>
    </w:pPr>
    <w:r>
      <w:t xml:space="preserve">Page </w:t>
    </w:r>
    <w:fldSimple w:instr=" PAGE ">
      <w:r w:rsidR="00F341E9">
        <w:rPr>
          <w:noProof/>
        </w:rPr>
        <w:t>1</w:t>
      </w:r>
    </w:fldSimple>
    <w:r>
      <w:t xml:space="preserve"> sur </w:t>
    </w:r>
    <w:fldSimple w:instr=" NUMPAGES ">
      <w:r w:rsidR="00F341E9">
        <w:rPr>
          <w:noProof/>
        </w:rPr>
        <w:t>12</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4D0D" w:rsidRDefault="008B4D0D" w:rsidP="00F35289">
      <w:r>
        <w:separator/>
      </w:r>
    </w:p>
  </w:footnote>
  <w:footnote w:type="continuationSeparator" w:id="0">
    <w:p w:rsidR="008B4D0D" w:rsidRDefault="008B4D0D" w:rsidP="00F35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5DA" w:rsidRPr="00F85513" w:rsidRDefault="00E755DA" w:rsidP="00065A3F">
    <w:pPr>
      <w:pStyle w:val="En-tte"/>
      <w:pBdr>
        <w:bottom w:val="single" w:sz="12" w:space="1" w:color="auto"/>
      </w:pBdr>
      <w:jc w:val="right"/>
      <w:rPr>
        <w:sz w:val="16"/>
        <w:szCs w:val="16"/>
      </w:rPr>
    </w:pPr>
    <w:r>
      <w:rPr>
        <w:sz w:val="16"/>
        <w:szCs w:val="16"/>
      </w:rPr>
      <w:t>Comment expliquer les crises financières et réguler le système financier ?</w:t>
    </w:r>
    <w:r w:rsidRPr="00F85513">
      <w:rPr>
        <w:sz w:val="16"/>
        <w:szCs w:val="16"/>
      </w:rPr>
      <w:t xml:space="preserve"> – </w:t>
    </w:r>
    <w:r w:rsidR="0087584A">
      <w:rPr>
        <w:sz w:val="16"/>
        <w:szCs w:val="16"/>
      </w:rPr>
      <w:t>Qu’est-ce que le système financier ?</w:t>
    </w:r>
    <w:r w:rsidRPr="00F85513">
      <w:rPr>
        <w:sz w:val="16"/>
        <w:szCs w:val="16"/>
      </w:rPr>
      <w:t xml:space="preserve"> (</w:t>
    </w:r>
    <w:r w:rsidR="0087584A">
      <w:rPr>
        <w:sz w:val="16"/>
        <w:szCs w:val="16"/>
      </w:rPr>
      <w:t>1</w:t>
    </w:r>
    <w:r w:rsidRPr="00F85513">
      <w:rPr>
        <w:sz w:val="16"/>
        <w:szCs w:val="16"/>
      </w:rPr>
      <w:t>/</w:t>
    </w:r>
    <w:r>
      <w:rPr>
        <w:sz w:val="16"/>
        <w:szCs w:val="16"/>
      </w:rPr>
      <w:t>5</w:t>
    </w:r>
    <w:r w:rsidRPr="00F85513">
      <w:rPr>
        <w:sz w:val="16"/>
        <w:szCs w:val="16"/>
      </w:rPr>
      <w:t xml:space="preserve">) - Page </w:t>
    </w:r>
    <w:r w:rsidR="00C13311" w:rsidRPr="00F85513">
      <w:rPr>
        <w:sz w:val="16"/>
        <w:szCs w:val="16"/>
      </w:rPr>
      <w:fldChar w:fldCharType="begin"/>
    </w:r>
    <w:r w:rsidRPr="00F85513">
      <w:rPr>
        <w:sz w:val="16"/>
        <w:szCs w:val="16"/>
      </w:rPr>
      <w:instrText xml:space="preserve"> PAGE </w:instrText>
    </w:r>
    <w:r w:rsidR="00C13311" w:rsidRPr="00F85513">
      <w:rPr>
        <w:sz w:val="16"/>
        <w:szCs w:val="16"/>
      </w:rPr>
      <w:fldChar w:fldCharType="separate"/>
    </w:r>
    <w:r w:rsidR="00F341E9">
      <w:rPr>
        <w:noProof/>
        <w:sz w:val="16"/>
        <w:szCs w:val="16"/>
      </w:rPr>
      <w:t>1</w:t>
    </w:r>
    <w:r w:rsidR="00C13311" w:rsidRPr="00F85513">
      <w:rPr>
        <w:sz w:val="16"/>
        <w:szCs w:val="16"/>
      </w:rPr>
      <w:fldChar w:fldCharType="end"/>
    </w:r>
    <w:r w:rsidRPr="00F85513">
      <w:rPr>
        <w:sz w:val="16"/>
        <w:szCs w:val="16"/>
      </w:rPr>
      <w:t xml:space="preserve"> sur </w:t>
    </w:r>
    <w:r w:rsidR="00C13311" w:rsidRPr="00F85513">
      <w:rPr>
        <w:sz w:val="16"/>
        <w:szCs w:val="16"/>
      </w:rPr>
      <w:fldChar w:fldCharType="begin"/>
    </w:r>
    <w:r w:rsidRPr="00F85513">
      <w:rPr>
        <w:sz w:val="16"/>
        <w:szCs w:val="16"/>
      </w:rPr>
      <w:instrText xml:space="preserve"> NUMPAGES </w:instrText>
    </w:r>
    <w:r w:rsidR="00C13311" w:rsidRPr="00F85513">
      <w:rPr>
        <w:sz w:val="16"/>
        <w:szCs w:val="16"/>
      </w:rPr>
      <w:fldChar w:fldCharType="separate"/>
    </w:r>
    <w:r w:rsidR="00F341E9">
      <w:rPr>
        <w:noProof/>
        <w:sz w:val="16"/>
        <w:szCs w:val="16"/>
      </w:rPr>
      <w:t>12</w:t>
    </w:r>
    <w:r w:rsidR="00C13311" w:rsidRPr="00F85513">
      <w:rPr>
        <w:sz w:val="16"/>
        <w:szCs w:val="16"/>
      </w:rPr>
      <w:fldChar w:fldCharType="end"/>
    </w:r>
  </w:p>
  <w:p w:rsidR="00E755DA" w:rsidRDefault="00E755DA" w:rsidP="00065A3F">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943F1D"/>
    <w:multiLevelType w:val="hybridMultilevel"/>
    <w:tmpl w:val="EBE095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12561B63"/>
    <w:multiLevelType w:val="hybridMultilevel"/>
    <w:tmpl w:val="C4EC331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33C0AE4"/>
    <w:multiLevelType w:val="hybridMultilevel"/>
    <w:tmpl w:val="E118FBB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EE15838"/>
    <w:multiLevelType w:val="hybridMultilevel"/>
    <w:tmpl w:val="3536E87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2F7317ED"/>
    <w:multiLevelType w:val="hybridMultilevel"/>
    <w:tmpl w:val="20D878D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333B2EFD"/>
    <w:multiLevelType w:val="hybridMultilevel"/>
    <w:tmpl w:val="D0B2F816"/>
    <w:lvl w:ilvl="0" w:tplc="35AC8A8E">
      <w:start w:val="1"/>
      <w:numFmt w:val="decimal"/>
      <w:lvlText w:val="%1."/>
      <w:lvlJc w:val="left"/>
      <w:pPr>
        <w:ind w:left="720" w:hanging="360"/>
      </w:pPr>
    </w:lvl>
    <w:lvl w:ilvl="1" w:tplc="E0329098" w:tentative="1">
      <w:start w:val="1"/>
      <w:numFmt w:val="lowerLetter"/>
      <w:lvlText w:val="%2."/>
      <w:lvlJc w:val="left"/>
      <w:pPr>
        <w:ind w:left="1440" w:hanging="360"/>
      </w:pPr>
    </w:lvl>
    <w:lvl w:ilvl="2" w:tplc="922E8A6E" w:tentative="1">
      <w:start w:val="1"/>
      <w:numFmt w:val="lowerRoman"/>
      <w:lvlText w:val="%3."/>
      <w:lvlJc w:val="right"/>
      <w:pPr>
        <w:ind w:left="2160" w:hanging="180"/>
      </w:pPr>
    </w:lvl>
    <w:lvl w:ilvl="3" w:tplc="06401544" w:tentative="1">
      <w:start w:val="1"/>
      <w:numFmt w:val="decimal"/>
      <w:lvlText w:val="%4."/>
      <w:lvlJc w:val="left"/>
      <w:pPr>
        <w:ind w:left="2880" w:hanging="360"/>
      </w:pPr>
    </w:lvl>
    <w:lvl w:ilvl="4" w:tplc="19E84566" w:tentative="1">
      <w:start w:val="1"/>
      <w:numFmt w:val="lowerLetter"/>
      <w:lvlText w:val="%5."/>
      <w:lvlJc w:val="left"/>
      <w:pPr>
        <w:ind w:left="3600" w:hanging="360"/>
      </w:pPr>
    </w:lvl>
    <w:lvl w:ilvl="5" w:tplc="E506D856" w:tentative="1">
      <w:start w:val="1"/>
      <w:numFmt w:val="lowerRoman"/>
      <w:lvlText w:val="%6."/>
      <w:lvlJc w:val="right"/>
      <w:pPr>
        <w:ind w:left="4320" w:hanging="180"/>
      </w:pPr>
    </w:lvl>
    <w:lvl w:ilvl="6" w:tplc="ED741E92" w:tentative="1">
      <w:start w:val="1"/>
      <w:numFmt w:val="decimal"/>
      <w:lvlText w:val="%7."/>
      <w:lvlJc w:val="left"/>
      <w:pPr>
        <w:ind w:left="5040" w:hanging="360"/>
      </w:pPr>
    </w:lvl>
    <w:lvl w:ilvl="7" w:tplc="30767222" w:tentative="1">
      <w:start w:val="1"/>
      <w:numFmt w:val="lowerLetter"/>
      <w:lvlText w:val="%8."/>
      <w:lvlJc w:val="left"/>
      <w:pPr>
        <w:ind w:left="5760" w:hanging="360"/>
      </w:pPr>
    </w:lvl>
    <w:lvl w:ilvl="8" w:tplc="FCFE49B4" w:tentative="1">
      <w:start w:val="1"/>
      <w:numFmt w:val="lowerRoman"/>
      <w:lvlText w:val="%9."/>
      <w:lvlJc w:val="right"/>
      <w:pPr>
        <w:ind w:left="6480" w:hanging="180"/>
      </w:pPr>
    </w:lvl>
  </w:abstractNum>
  <w:abstractNum w:abstractNumId="6">
    <w:nsid w:val="36162A52"/>
    <w:multiLevelType w:val="hybridMultilevel"/>
    <w:tmpl w:val="8D7C51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4C580601"/>
    <w:multiLevelType w:val="hybridMultilevel"/>
    <w:tmpl w:val="056C550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4C5E6B07"/>
    <w:multiLevelType w:val="hybridMultilevel"/>
    <w:tmpl w:val="5B3A455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CF66F9A"/>
    <w:multiLevelType w:val="hybridMultilevel"/>
    <w:tmpl w:val="6D4EBDE8"/>
    <w:lvl w:ilvl="0" w:tplc="8E56F36E">
      <w:start w:val="1"/>
      <w:numFmt w:val="decimal"/>
      <w:lvlText w:val="%1."/>
      <w:lvlJc w:val="left"/>
      <w:pPr>
        <w:ind w:left="720" w:hanging="360"/>
      </w:pPr>
    </w:lvl>
    <w:lvl w:ilvl="1" w:tplc="53DEC01E" w:tentative="1">
      <w:start w:val="1"/>
      <w:numFmt w:val="lowerLetter"/>
      <w:lvlText w:val="%2."/>
      <w:lvlJc w:val="left"/>
      <w:pPr>
        <w:ind w:left="1440" w:hanging="360"/>
      </w:pPr>
    </w:lvl>
    <w:lvl w:ilvl="2" w:tplc="F65E0AD2" w:tentative="1">
      <w:start w:val="1"/>
      <w:numFmt w:val="lowerRoman"/>
      <w:lvlText w:val="%3."/>
      <w:lvlJc w:val="right"/>
      <w:pPr>
        <w:ind w:left="2160" w:hanging="180"/>
      </w:pPr>
    </w:lvl>
    <w:lvl w:ilvl="3" w:tplc="8E724FE8" w:tentative="1">
      <w:start w:val="1"/>
      <w:numFmt w:val="decimal"/>
      <w:lvlText w:val="%4."/>
      <w:lvlJc w:val="left"/>
      <w:pPr>
        <w:ind w:left="2880" w:hanging="360"/>
      </w:pPr>
    </w:lvl>
    <w:lvl w:ilvl="4" w:tplc="11041DC0" w:tentative="1">
      <w:start w:val="1"/>
      <w:numFmt w:val="lowerLetter"/>
      <w:lvlText w:val="%5."/>
      <w:lvlJc w:val="left"/>
      <w:pPr>
        <w:ind w:left="3600" w:hanging="360"/>
      </w:pPr>
    </w:lvl>
    <w:lvl w:ilvl="5" w:tplc="BE36D59E" w:tentative="1">
      <w:start w:val="1"/>
      <w:numFmt w:val="lowerRoman"/>
      <w:lvlText w:val="%6."/>
      <w:lvlJc w:val="right"/>
      <w:pPr>
        <w:ind w:left="4320" w:hanging="180"/>
      </w:pPr>
    </w:lvl>
    <w:lvl w:ilvl="6" w:tplc="C59C97B8" w:tentative="1">
      <w:start w:val="1"/>
      <w:numFmt w:val="decimal"/>
      <w:lvlText w:val="%7."/>
      <w:lvlJc w:val="left"/>
      <w:pPr>
        <w:ind w:left="5040" w:hanging="360"/>
      </w:pPr>
    </w:lvl>
    <w:lvl w:ilvl="7" w:tplc="0764C43E" w:tentative="1">
      <w:start w:val="1"/>
      <w:numFmt w:val="lowerLetter"/>
      <w:lvlText w:val="%8."/>
      <w:lvlJc w:val="left"/>
      <w:pPr>
        <w:ind w:left="5760" w:hanging="360"/>
      </w:pPr>
    </w:lvl>
    <w:lvl w:ilvl="8" w:tplc="1F4614E6" w:tentative="1">
      <w:start w:val="1"/>
      <w:numFmt w:val="lowerRoman"/>
      <w:lvlText w:val="%9."/>
      <w:lvlJc w:val="right"/>
      <w:pPr>
        <w:ind w:left="6480" w:hanging="180"/>
      </w:pPr>
    </w:lvl>
  </w:abstractNum>
  <w:abstractNum w:abstractNumId="10">
    <w:nsid w:val="77693DFD"/>
    <w:multiLevelType w:val="hybridMultilevel"/>
    <w:tmpl w:val="C720B1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E1C4170"/>
    <w:multiLevelType w:val="hybridMultilevel"/>
    <w:tmpl w:val="43B2731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7"/>
  </w:num>
  <w:num w:numId="5">
    <w:abstractNumId w:val="10"/>
  </w:num>
  <w:num w:numId="6">
    <w:abstractNumId w:val="9"/>
  </w:num>
  <w:num w:numId="7">
    <w:abstractNumId w:val="3"/>
  </w:num>
  <w:num w:numId="8">
    <w:abstractNumId w:val="1"/>
  </w:num>
  <w:num w:numId="9">
    <w:abstractNumId w:val="2"/>
  </w:num>
  <w:num w:numId="10">
    <w:abstractNumId w:val="11"/>
  </w:num>
  <w:num w:numId="11">
    <w:abstractNumId w:val="8"/>
  </w:num>
  <w:num w:numId="12">
    <w:abstractNumId w:val="6"/>
  </w:num>
  <w:numIdMacAtCleanup w:val="1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E61E55"/>
    <w:rsid w:val="00001263"/>
    <w:rsid w:val="000205FF"/>
    <w:rsid w:val="000211E6"/>
    <w:rsid w:val="00021448"/>
    <w:rsid w:val="00030DED"/>
    <w:rsid w:val="00032F6E"/>
    <w:rsid w:val="00036FF6"/>
    <w:rsid w:val="00050C63"/>
    <w:rsid w:val="00053DC6"/>
    <w:rsid w:val="000552D9"/>
    <w:rsid w:val="000557DB"/>
    <w:rsid w:val="00065A3F"/>
    <w:rsid w:val="0007274C"/>
    <w:rsid w:val="000C32DB"/>
    <w:rsid w:val="000C4D35"/>
    <w:rsid w:val="000D5D82"/>
    <w:rsid w:val="000E47E7"/>
    <w:rsid w:val="001008A2"/>
    <w:rsid w:val="001023E9"/>
    <w:rsid w:val="0011431A"/>
    <w:rsid w:val="00115D3A"/>
    <w:rsid w:val="00142A98"/>
    <w:rsid w:val="00144F6E"/>
    <w:rsid w:val="0015752B"/>
    <w:rsid w:val="0016103B"/>
    <w:rsid w:val="0017191C"/>
    <w:rsid w:val="00190B64"/>
    <w:rsid w:val="001C052E"/>
    <w:rsid w:val="001F5F95"/>
    <w:rsid w:val="0020203E"/>
    <w:rsid w:val="00227AD6"/>
    <w:rsid w:val="002342DD"/>
    <w:rsid w:val="00240D9F"/>
    <w:rsid w:val="00245567"/>
    <w:rsid w:val="00275176"/>
    <w:rsid w:val="0028024B"/>
    <w:rsid w:val="00293153"/>
    <w:rsid w:val="002D313B"/>
    <w:rsid w:val="003002C7"/>
    <w:rsid w:val="003017AB"/>
    <w:rsid w:val="00302A77"/>
    <w:rsid w:val="00303EE0"/>
    <w:rsid w:val="00312F59"/>
    <w:rsid w:val="0031427E"/>
    <w:rsid w:val="00327AD2"/>
    <w:rsid w:val="00336CE5"/>
    <w:rsid w:val="00342B9C"/>
    <w:rsid w:val="00360958"/>
    <w:rsid w:val="00375B17"/>
    <w:rsid w:val="003A0976"/>
    <w:rsid w:val="003A5F5F"/>
    <w:rsid w:val="003A7C1B"/>
    <w:rsid w:val="003C3DFD"/>
    <w:rsid w:val="003D03FC"/>
    <w:rsid w:val="00406D65"/>
    <w:rsid w:val="004204C5"/>
    <w:rsid w:val="00420D3C"/>
    <w:rsid w:val="004233CC"/>
    <w:rsid w:val="0042640E"/>
    <w:rsid w:val="004635FB"/>
    <w:rsid w:val="00472FB7"/>
    <w:rsid w:val="004752B7"/>
    <w:rsid w:val="00494E60"/>
    <w:rsid w:val="004A2D43"/>
    <w:rsid w:val="004A2F0C"/>
    <w:rsid w:val="004C6790"/>
    <w:rsid w:val="004C7D77"/>
    <w:rsid w:val="004D1EE7"/>
    <w:rsid w:val="004F116C"/>
    <w:rsid w:val="0052360C"/>
    <w:rsid w:val="00547027"/>
    <w:rsid w:val="005547BE"/>
    <w:rsid w:val="005756B8"/>
    <w:rsid w:val="0058514E"/>
    <w:rsid w:val="005959A4"/>
    <w:rsid w:val="005A474B"/>
    <w:rsid w:val="005A6789"/>
    <w:rsid w:val="005A7EB3"/>
    <w:rsid w:val="005B02DD"/>
    <w:rsid w:val="005B2C46"/>
    <w:rsid w:val="005B63AD"/>
    <w:rsid w:val="005B735C"/>
    <w:rsid w:val="005D02A4"/>
    <w:rsid w:val="005D6722"/>
    <w:rsid w:val="005E0784"/>
    <w:rsid w:val="005F68EC"/>
    <w:rsid w:val="00605D9D"/>
    <w:rsid w:val="00614129"/>
    <w:rsid w:val="00621F69"/>
    <w:rsid w:val="00630632"/>
    <w:rsid w:val="00641DFE"/>
    <w:rsid w:val="00643BEB"/>
    <w:rsid w:val="00676A63"/>
    <w:rsid w:val="006838E1"/>
    <w:rsid w:val="00697803"/>
    <w:rsid w:val="006B31D6"/>
    <w:rsid w:val="006C44E6"/>
    <w:rsid w:val="006E0CFB"/>
    <w:rsid w:val="00710818"/>
    <w:rsid w:val="007164A6"/>
    <w:rsid w:val="00724BD3"/>
    <w:rsid w:val="00727475"/>
    <w:rsid w:val="007478E3"/>
    <w:rsid w:val="00750D37"/>
    <w:rsid w:val="00773C57"/>
    <w:rsid w:val="00780250"/>
    <w:rsid w:val="007906C5"/>
    <w:rsid w:val="00793832"/>
    <w:rsid w:val="00796FC3"/>
    <w:rsid w:val="007973C4"/>
    <w:rsid w:val="007975D4"/>
    <w:rsid w:val="007A5045"/>
    <w:rsid w:val="007B0247"/>
    <w:rsid w:val="007D7BA0"/>
    <w:rsid w:val="007E56E2"/>
    <w:rsid w:val="007F0604"/>
    <w:rsid w:val="007F15AB"/>
    <w:rsid w:val="007F656A"/>
    <w:rsid w:val="00821644"/>
    <w:rsid w:val="00832475"/>
    <w:rsid w:val="00833B2F"/>
    <w:rsid w:val="00871688"/>
    <w:rsid w:val="008724F3"/>
    <w:rsid w:val="0087584A"/>
    <w:rsid w:val="00887FF3"/>
    <w:rsid w:val="00893072"/>
    <w:rsid w:val="008A5DFA"/>
    <w:rsid w:val="008B2ACF"/>
    <w:rsid w:val="008B4D0D"/>
    <w:rsid w:val="008B74FF"/>
    <w:rsid w:val="008C01AF"/>
    <w:rsid w:val="008C2DAC"/>
    <w:rsid w:val="008C645A"/>
    <w:rsid w:val="008D603B"/>
    <w:rsid w:val="008E1B1F"/>
    <w:rsid w:val="008E79D8"/>
    <w:rsid w:val="008F08D7"/>
    <w:rsid w:val="008F49D3"/>
    <w:rsid w:val="008F54D1"/>
    <w:rsid w:val="00902325"/>
    <w:rsid w:val="00903CFC"/>
    <w:rsid w:val="0090468F"/>
    <w:rsid w:val="009064BE"/>
    <w:rsid w:val="00915C7C"/>
    <w:rsid w:val="009426AB"/>
    <w:rsid w:val="009464C2"/>
    <w:rsid w:val="0094705D"/>
    <w:rsid w:val="009506F9"/>
    <w:rsid w:val="00954CDB"/>
    <w:rsid w:val="00975849"/>
    <w:rsid w:val="00982A68"/>
    <w:rsid w:val="00986F07"/>
    <w:rsid w:val="009954E8"/>
    <w:rsid w:val="009A27B4"/>
    <w:rsid w:val="009A5D9E"/>
    <w:rsid w:val="009B04DD"/>
    <w:rsid w:val="009B6F20"/>
    <w:rsid w:val="009C177F"/>
    <w:rsid w:val="009C3698"/>
    <w:rsid w:val="009C4B50"/>
    <w:rsid w:val="009D011B"/>
    <w:rsid w:val="009D0BE4"/>
    <w:rsid w:val="009D2974"/>
    <w:rsid w:val="009E2FD8"/>
    <w:rsid w:val="009E327F"/>
    <w:rsid w:val="009E5767"/>
    <w:rsid w:val="009E694C"/>
    <w:rsid w:val="009F7DAB"/>
    <w:rsid w:val="00A01DCA"/>
    <w:rsid w:val="00A07603"/>
    <w:rsid w:val="00A10F48"/>
    <w:rsid w:val="00A376E8"/>
    <w:rsid w:val="00A430D6"/>
    <w:rsid w:val="00A52DC8"/>
    <w:rsid w:val="00A75F80"/>
    <w:rsid w:val="00A8303B"/>
    <w:rsid w:val="00A906F2"/>
    <w:rsid w:val="00AA6A14"/>
    <w:rsid w:val="00AD251C"/>
    <w:rsid w:val="00AF3729"/>
    <w:rsid w:val="00AF484D"/>
    <w:rsid w:val="00B13956"/>
    <w:rsid w:val="00B24FD3"/>
    <w:rsid w:val="00B2575A"/>
    <w:rsid w:val="00B36ECA"/>
    <w:rsid w:val="00B37CFB"/>
    <w:rsid w:val="00B428FB"/>
    <w:rsid w:val="00B43427"/>
    <w:rsid w:val="00B46261"/>
    <w:rsid w:val="00B4664F"/>
    <w:rsid w:val="00B46F1F"/>
    <w:rsid w:val="00B632A0"/>
    <w:rsid w:val="00B75CCB"/>
    <w:rsid w:val="00B8182B"/>
    <w:rsid w:val="00B91E58"/>
    <w:rsid w:val="00B95E85"/>
    <w:rsid w:val="00B975C6"/>
    <w:rsid w:val="00BA16E0"/>
    <w:rsid w:val="00BB097E"/>
    <w:rsid w:val="00BC10DE"/>
    <w:rsid w:val="00BD3B2D"/>
    <w:rsid w:val="00BD3DA2"/>
    <w:rsid w:val="00BE6F13"/>
    <w:rsid w:val="00BF067A"/>
    <w:rsid w:val="00C062D6"/>
    <w:rsid w:val="00C13311"/>
    <w:rsid w:val="00C14F95"/>
    <w:rsid w:val="00C15C5A"/>
    <w:rsid w:val="00C24821"/>
    <w:rsid w:val="00C53E7F"/>
    <w:rsid w:val="00C7515C"/>
    <w:rsid w:val="00C87C08"/>
    <w:rsid w:val="00C92088"/>
    <w:rsid w:val="00C972C6"/>
    <w:rsid w:val="00CC1484"/>
    <w:rsid w:val="00CD2CDF"/>
    <w:rsid w:val="00CE4DB7"/>
    <w:rsid w:val="00CF6E36"/>
    <w:rsid w:val="00D24B91"/>
    <w:rsid w:val="00D57A72"/>
    <w:rsid w:val="00D65C71"/>
    <w:rsid w:val="00D728A7"/>
    <w:rsid w:val="00D848FD"/>
    <w:rsid w:val="00D85684"/>
    <w:rsid w:val="00D875BA"/>
    <w:rsid w:val="00D87748"/>
    <w:rsid w:val="00D9040F"/>
    <w:rsid w:val="00D97944"/>
    <w:rsid w:val="00DA2B09"/>
    <w:rsid w:val="00DA7D0F"/>
    <w:rsid w:val="00DC164B"/>
    <w:rsid w:val="00DF44D8"/>
    <w:rsid w:val="00DF67DF"/>
    <w:rsid w:val="00DF7B82"/>
    <w:rsid w:val="00E1672B"/>
    <w:rsid w:val="00E176E0"/>
    <w:rsid w:val="00E179CA"/>
    <w:rsid w:val="00E327EC"/>
    <w:rsid w:val="00E53F43"/>
    <w:rsid w:val="00E613A1"/>
    <w:rsid w:val="00E61E55"/>
    <w:rsid w:val="00E670A5"/>
    <w:rsid w:val="00E755DA"/>
    <w:rsid w:val="00E820BD"/>
    <w:rsid w:val="00E83AE5"/>
    <w:rsid w:val="00E855BC"/>
    <w:rsid w:val="00EA17B4"/>
    <w:rsid w:val="00EA18FC"/>
    <w:rsid w:val="00ED7612"/>
    <w:rsid w:val="00EF7F5E"/>
    <w:rsid w:val="00F06501"/>
    <w:rsid w:val="00F14F34"/>
    <w:rsid w:val="00F32BB1"/>
    <w:rsid w:val="00F341E9"/>
    <w:rsid w:val="00F35289"/>
    <w:rsid w:val="00F478D6"/>
    <w:rsid w:val="00F7043D"/>
    <w:rsid w:val="00F71F1C"/>
    <w:rsid w:val="00F872F1"/>
    <w:rsid w:val="00FA24AF"/>
    <w:rsid w:val="00FC7637"/>
    <w:rsid w:val="00FC7EAF"/>
    <w:rsid w:val="00FD481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9458">
      <o:colormenu v:ext="edit" fillcolor="none" strokecolor="none [3213]"/>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3CC"/>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9506F9"/>
    <w:pPr>
      <w:spacing w:before="100" w:beforeAutospacing="1" w:after="100" w:afterAutospacing="1"/>
      <w:outlineLvl w:val="0"/>
    </w:pPr>
    <w:rPr>
      <w:b/>
      <w:bCs/>
      <w:kern w:val="36"/>
      <w:sz w:val="48"/>
      <w:szCs w:val="48"/>
    </w:rPr>
  </w:style>
  <w:style w:type="paragraph" w:styleId="Titre2">
    <w:name w:val="heading 2"/>
    <w:basedOn w:val="Normal"/>
    <w:next w:val="Normal"/>
    <w:link w:val="Titre2Car"/>
    <w:uiPriority w:val="9"/>
    <w:semiHidden/>
    <w:unhideWhenUsed/>
    <w:qFormat/>
    <w:rsid w:val="000C32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itre3">
    <w:name w:val="heading 3"/>
    <w:basedOn w:val="Normal"/>
    <w:next w:val="Normal"/>
    <w:link w:val="Titre3Car"/>
    <w:uiPriority w:val="9"/>
    <w:semiHidden/>
    <w:unhideWhenUsed/>
    <w:qFormat/>
    <w:rsid w:val="003A5F5F"/>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9506F9"/>
    <w:rPr>
      <w:rFonts w:ascii="Times New Roman" w:hAnsi="Times New Roman" w:cs="Times New Roman"/>
      <w:b/>
      <w:bCs/>
      <w:kern w:val="36"/>
      <w:sz w:val="48"/>
      <w:szCs w:val="48"/>
      <w:lang w:eastAsia="fr-FR"/>
    </w:rPr>
  </w:style>
  <w:style w:type="character" w:customStyle="1" w:styleId="Titre2Car">
    <w:name w:val="Titre 2 Car"/>
    <w:basedOn w:val="Policepardfaut"/>
    <w:link w:val="Titre2"/>
    <w:uiPriority w:val="9"/>
    <w:semiHidden/>
    <w:rsid w:val="000C32DB"/>
    <w:rPr>
      <w:rFonts w:asciiTheme="majorHAnsi" w:eastAsiaTheme="majorEastAsia" w:hAnsiTheme="majorHAnsi" w:cstheme="majorBidi"/>
      <w:b/>
      <w:bCs/>
      <w:color w:val="4F81BD" w:themeColor="accent1"/>
      <w:sz w:val="26"/>
      <w:szCs w:val="26"/>
      <w:lang w:eastAsia="fr-FR"/>
    </w:rPr>
  </w:style>
  <w:style w:type="character" w:customStyle="1" w:styleId="Titre3Car">
    <w:name w:val="Titre 3 Car"/>
    <w:basedOn w:val="Policepardfaut"/>
    <w:link w:val="Titre3"/>
    <w:uiPriority w:val="9"/>
    <w:semiHidden/>
    <w:rsid w:val="003A5F5F"/>
    <w:rPr>
      <w:rFonts w:asciiTheme="majorHAnsi" w:eastAsiaTheme="majorEastAsia" w:hAnsiTheme="majorHAnsi" w:cstheme="majorBidi"/>
      <w:b/>
      <w:bCs/>
      <w:color w:val="4F81BD" w:themeColor="accent1"/>
      <w:sz w:val="24"/>
      <w:szCs w:val="24"/>
      <w:lang w:eastAsia="fr-FR"/>
    </w:rPr>
  </w:style>
  <w:style w:type="paragraph" w:styleId="Sansinterligne">
    <w:name w:val="No Spacing"/>
    <w:autoRedefine/>
    <w:uiPriority w:val="1"/>
    <w:qFormat/>
    <w:rsid w:val="00C14F95"/>
    <w:pPr>
      <w:spacing w:after="0" w:line="240" w:lineRule="auto"/>
    </w:pPr>
    <w:rPr>
      <w:rFonts w:eastAsia="Calibri" w:cstheme="minorHAnsi"/>
      <w:noProof/>
      <w:color w:val="000000" w:themeColor="text1"/>
      <w:sz w:val="24"/>
      <w:szCs w:val="24"/>
      <w:lang w:eastAsia="fr-FR"/>
    </w:rPr>
  </w:style>
  <w:style w:type="table" w:styleId="Grilledutableau">
    <w:name w:val="Table Grid"/>
    <w:basedOn w:val="TableauNormal"/>
    <w:uiPriority w:val="59"/>
    <w:rsid w:val="00E61E5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61E55"/>
    <w:pPr>
      <w:ind w:left="720"/>
      <w:contextualSpacing/>
    </w:pPr>
  </w:style>
  <w:style w:type="character" w:styleId="Lienhypertexte">
    <w:name w:val="Hyperlink"/>
    <w:basedOn w:val="Policepardfaut"/>
    <w:uiPriority w:val="99"/>
    <w:unhideWhenUsed/>
    <w:rsid w:val="00E61E55"/>
    <w:rPr>
      <w:color w:val="0000FF" w:themeColor="hyperlink"/>
      <w:u w:val="single"/>
    </w:rPr>
  </w:style>
  <w:style w:type="paragraph" w:styleId="En-tte">
    <w:name w:val="header"/>
    <w:basedOn w:val="Normal"/>
    <w:link w:val="En-tteCar"/>
    <w:uiPriority w:val="99"/>
    <w:unhideWhenUsed/>
    <w:rsid w:val="00E61E55"/>
    <w:pPr>
      <w:tabs>
        <w:tab w:val="center" w:pos="4536"/>
        <w:tab w:val="right" w:pos="9072"/>
      </w:tabs>
    </w:pPr>
  </w:style>
  <w:style w:type="character" w:customStyle="1" w:styleId="En-tteCar">
    <w:name w:val="En-tête Car"/>
    <w:basedOn w:val="Policepardfaut"/>
    <w:link w:val="En-tte"/>
    <w:uiPriority w:val="99"/>
    <w:rsid w:val="00E61E55"/>
    <w:rPr>
      <w:rFonts w:ascii="Calibri" w:eastAsia="Calibri" w:hAnsi="Calibri" w:cs="Times New Roman"/>
      <w:sz w:val="20"/>
    </w:rPr>
  </w:style>
  <w:style w:type="paragraph" w:styleId="Pieddepage">
    <w:name w:val="footer"/>
    <w:basedOn w:val="Normal"/>
    <w:link w:val="PieddepageCar"/>
    <w:uiPriority w:val="99"/>
    <w:unhideWhenUsed/>
    <w:rsid w:val="00E61E55"/>
    <w:pPr>
      <w:tabs>
        <w:tab w:val="center" w:pos="4536"/>
        <w:tab w:val="right" w:pos="9072"/>
      </w:tabs>
    </w:pPr>
  </w:style>
  <w:style w:type="character" w:customStyle="1" w:styleId="PieddepageCar">
    <w:name w:val="Pied de page Car"/>
    <w:basedOn w:val="Policepardfaut"/>
    <w:link w:val="Pieddepage"/>
    <w:uiPriority w:val="99"/>
    <w:rsid w:val="00E61E55"/>
    <w:rPr>
      <w:rFonts w:ascii="Calibri" w:eastAsia="Calibri" w:hAnsi="Calibri" w:cs="Times New Roman"/>
      <w:sz w:val="20"/>
    </w:rPr>
  </w:style>
  <w:style w:type="paragraph" w:styleId="Textedebulles">
    <w:name w:val="Balloon Text"/>
    <w:basedOn w:val="Normal"/>
    <w:link w:val="TextedebullesCar"/>
    <w:uiPriority w:val="99"/>
    <w:semiHidden/>
    <w:unhideWhenUsed/>
    <w:rsid w:val="00E61E55"/>
    <w:rPr>
      <w:rFonts w:ascii="Tahoma" w:hAnsi="Tahoma" w:cs="Tahoma"/>
      <w:sz w:val="16"/>
      <w:szCs w:val="16"/>
    </w:rPr>
  </w:style>
  <w:style w:type="character" w:customStyle="1" w:styleId="TextedebullesCar">
    <w:name w:val="Texte de bulles Car"/>
    <w:basedOn w:val="Policepardfaut"/>
    <w:link w:val="Textedebulles"/>
    <w:uiPriority w:val="99"/>
    <w:semiHidden/>
    <w:rsid w:val="00E61E55"/>
    <w:rPr>
      <w:rFonts w:ascii="Tahoma" w:eastAsia="Calibri" w:hAnsi="Tahoma" w:cs="Tahoma"/>
      <w:sz w:val="16"/>
      <w:szCs w:val="16"/>
    </w:rPr>
  </w:style>
  <w:style w:type="character" w:styleId="Lienhypertextesuivivisit">
    <w:name w:val="FollowedHyperlink"/>
    <w:basedOn w:val="Policepardfaut"/>
    <w:uiPriority w:val="99"/>
    <w:semiHidden/>
    <w:unhideWhenUsed/>
    <w:rsid w:val="00975849"/>
    <w:rPr>
      <w:color w:val="800080" w:themeColor="followedHyperlink"/>
      <w:u w:val="single"/>
    </w:rPr>
  </w:style>
  <w:style w:type="character" w:customStyle="1" w:styleId="sous-titre">
    <w:name w:val="sous-titre"/>
    <w:basedOn w:val="Policepardfaut"/>
    <w:rsid w:val="00302A77"/>
  </w:style>
  <w:style w:type="character" w:customStyle="1" w:styleId="fontstyle01">
    <w:name w:val="fontstyle01"/>
    <w:basedOn w:val="Policepardfaut"/>
    <w:rsid w:val="00142A98"/>
    <w:rPr>
      <w:rFonts w:ascii="Optima-DemiBold" w:hAnsi="Optima-DemiBold" w:hint="default"/>
      <w:b/>
      <w:bCs/>
      <w:i w:val="0"/>
      <w:iCs w:val="0"/>
      <w:color w:val="008C99"/>
      <w:sz w:val="18"/>
      <w:szCs w:val="18"/>
    </w:rPr>
  </w:style>
  <w:style w:type="character" w:customStyle="1" w:styleId="fontstyle21">
    <w:name w:val="fontstyle21"/>
    <w:basedOn w:val="Policepardfaut"/>
    <w:rsid w:val="000552D9"/>
    <w:rPr>
      <w:rFonts w:ascii="TimesNewRomanPS-ItalicMT" w:hAnsi="TimesNewRomanPS-ItalicMT" w:hint="default"/>
      <w:b w:val="0"/>
      <w:bCs w:val="0"/>
      <w:i/>
      <w:iCs/>
      <w:color w:val="231F20"/>
      <w:sz w:val="22"/>
      <w:szCs w:val="22"/>
    </w:rPr>
  </w:style>
  <w:style w:type="character" w:customStyle="1" w:styleId="fontstyle31">
    <w:name w:val="fontstyle31"/>
    <w:basedOn w:val="Policepardfaut"/>
    <w:rsid w:val="00727475"/>
    <w:rPr>
      <w:rFonts w:ascii="ArialNarrow-Bold" w:hAnsi="ArialNarrow-Bold" w:hint="default"/>
      <w:b/>
      <w:bCs/>
      <w:i w:val="0"/>
      <w:iCs w:val="0"/>
      <w:color w:val="231F20"/>
      <w:sz w:val="36"/>
      <w:szCs w:val="36"/>
    </w:rPr>
  </w:style>
  <w:style w:type="character" w:customStyle="1" w:styleId="fontstyle41">
    <w:name w:val="fontstyle41"/>
    <w:basedOn w:val="Policepardfaut"/>
    <w:rsid w:val="00727475"/>
    <w:rPr>
      <w:rFonts w:ascii="TimesNewRomanPS-BoldMT" w:hAnsi="TimesNewRomanPS-BoldMT" w:hint="default"/>
      <w:b/>
      <w:bCs/>
      <w:i w:val="0"/>
      <w:iCs w:val="0"/>
      <w:color w:val="FFFFFF"/>
      <w:sz w:val="22"/>
      <w:szCs w:val="22"/>
    </w:rPr>
  </w:style>
  <w:style w:type="character" w:customStyle="1" w:styleId="fontstyle51">
    <w:name w:val="fontstyle51"/>
    <w:basedOn w:val="Policepardfaut"/>
    <w:rsid w:val="00727475"/>
    <w:rPr>
      <w:rFonts w:ascii="Arial-ItalicMT" w:hAnsi="Arial-ItalicMT" w:hint="default"/>
      <w:b w:val="0"/>
      <w:bCs w:val="0"/>
      <w:i/>
      <w:iCs/>
      <w:color w:val="231F20"/>
      <w:sz w:val="14"/>
      <w:szCs w:val="14"/>
    </w:rPr>
  </w:style>
  <w:style w:type="paragraph" w:styleId="NormalWeb">
    <w:name w:val="Normal (Web)"/>
    <w:basedOn w:val="Normal"/>
    <w:uiPriority w:val="99"/>
    <w:semiHidden/>
    <w:unhideWhenUsed/>
    <w:rsid w:val="003A5F5F"/>
    <w:pPr>
      <w:spacing w:before="100" w:beforeAutospacing="1" w:after="100" w:afterAutospacing="1"/>
    </w:pPr>
  </w:style>
  <w:style w:type="character" w:styleId="lev">
    <w:name w:val="Strong"/>
    <w:basedOn w:val="Policepardfaut"/>
    <w:uiPriority w:val="22"/>
    <w:qFormat/>
    <w:rsid w:val="003A5F5F"/>
    <w:rPr>
      <w:b/>
      <w:bCs/>
    </w:rPr>
  </w:style>
  <w:style w:type="character" w:styleId="Accentuation">
    <w:name w:val="Emphasis"/>
    <w:basedOn w:val="Policepardfaut"/>
    <w:uiPriority w:val="20"/>
    <w:qFormat/>
    <w:rsid w:val="003A5F5F"/>
    <w:rPr>
      <w:i/>
      <w:iCs/>
    </w:rPr>
  </w:style>
  <w:style w:type="character" w:customStyle="1" w:styleId="lien">
    <w:name w:val="lien"/>
    <w:basedOn w:val="Policepardfaut"/>
    <w:rsid w:val="00375B17"/>
  </w:style>
  <w:style w:type="character" w:customStyle="1" w:styleId="equivalent-titre-2">
    <w:name w:val="equivalent-titre-2"/>
    <w:basedOn w:val="Policepardfaut"/>
    <w:rsid w:val="00C92088"/>
  </w:style>
  <w:style w:type="character" w:customStyle="1" w:styleId="field">
    <w:name w:val="field"/>
    <w:basedOn w:val="Policepardfaut"/>
    <w:rsid w:val="009C3698"/>
  </w:style>
  <w:style w:type="paragraph" w:styleId="Titre">
    <w:name w:val="Title"/>
    <w:basedOn w:val="Normal"/>
    <w:link w:val="TitreCar"/>
    <w:qFormat/>
    <w:rsid w:val="0087584A"/>
    <w:pPr>
      <w:jc w:val="center"/>
    </w:pPr>
    <w:rPr>
      <w:b/>
      <w:color w:val="0000FF"/>
      <w:sz w:val="40"/>
      <w:szCs w:val="20"/>
      <w:u w:val="single"/>
    </w:rPr>
  </w:style>
  <w:style w:type="character" w:customStyle="1" w:styleId="TitreCar">
    <w:name w:val="Titre Car"/>
    <w:basedOn w:val="Policepardfaut"/>
    <w:link w:val="Titre"/>
    <w:rsid w:val="0087584A"/>
    <w:rPr>
      <w:rFonts w:ascii="Times New Roman" w:hAnsi="Times New Roman" w:cs="Times New Roman"/>
      <w:b/>
      <w:color w:val="0000FF"/>
      <w:sz w:val="40"/>
      <w:szCs w:val="20"/>
      <w:u w:val="single"/>
      <w:lang w:eastAsia="fr-FR"/>
    </w:rPr>
  </w:style>
  <w:style w:type="paragraph" w:customStyle="1" w:styleId="chapo">
    <w:name w:val="chapo"/>
    <w:basedOn w:val="Normal"/>
    <w:rsid w:val="000C4D35"/>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29842121">
      <w:bodyDiv w:val="1"/>
      <w:marLeft w:val="0"/>
      <w:marRight w:val="0"/>
      <w:marTop w:val="0"/>
      <w:marBottom w:val="0"/>
      <w:divBdr>
        <w:top w:val="none" w:sz="0" w:space="0" w:color="auto"/>
        <w:left w:val="none" w:sz="0" w:space="0" w:color="auto"/>
        <w:bottom w:val="none" w:sz="0" w:space="0" w:color="auto"/>
        <w:right w:val="none" w:sz="0" w:space="0" w:color="auto"/>
      </w:divBdr>
    </w:div>
    <w:div w:id="52896309">
      <w:bodyDiv w:val="1"/>
      <w:marLeft w:val="0"/>
      <w:marRight w:val="0"/>
      <w:marTop w:val="0"/>
      <w:marBottom w:val="0"/>
      <w:divBdr>
        <w:top w:val="none" w:sz="0" w:space="0" w:color="auto"/>
        <w:left w:val="none" w:sz="0" w:space="0" w:color="auto"/>
        <w:bottom w:val="none" w:sz="0" w:space="0" w:color="auto"/>
        <w:right w:val="none" w:sz="0" w:space="0" w:color="auto"/>
      </w:divBdr>
    </w:div>
    <w:div w:id="53160040">
      <w:bodyDiv w:val="1"/>
      <w:marLeft w:val="0"/>
      <w:marRight w:val="0"/>
      <w:marTop w:val="0"/>
      <w:marBottom w:val="0"/>
      <w:divBdr>
        <w:top w:val="none" w:sz="0" w:space="0" w:color="auto"/>
        <w:left w:val="none" w:sz="0" w:space="0" w:color="auto"/>
        <w:bottom w:val="none" w:sz="0" w:space="0" w:color="auto"/>
        <w:right w:val="none" w:sz="0" w:space="0" w:color="auto"/>
      </w:divBdr>
    </w:div>
    <w:div w:id="64883928">
      <w:bodyDiv w:val="1"/>
      <w:marLeft w:val="0"/>
      <w:marRight w:val="0"/>
      <w:marTop w:val="0"/>
      <w:marBottom w:val="0"/>
      <w:divBdr>
        <w:top w:val="none" w:sz="0" w:space="0" w:color="auto"/>
        <w:left w:val="none" w:sz="0" w:space="0" w:color="auto"/>
        <w:bottom w:val="none" w:sz="0" w:space="0" w:color="auto"/>
        <w:right w:val="none" w:sz="0" w:space="0" w:color="auto"/>
      </w:divBdr>
    </w:div>
    <w:div w:id="79837723">
      <w:bodyDiv w:val="1"/>
      <w:marLeft w:val="0"/>
      <w:marRight w:val="0"/>
      <w:marTop w:val="0"/>
      <w:marBottom w:val="0"/>
      <w:divBdr>
        <w:top w:val="none" w:sz="0" w:space="0" w:color="auto"/>
        <w:left w:val="none" w:sz="0" w:space="0" w:color="auto"/>
        <w:bottom w:val="none" w:sz="0" w:space="0" w:color="auto"/>
        <w:right w:val="none" w:sz="0" w:space="0" w:color="auto"/>
      </w:divBdr>
    </w:div>
    <w:div w:id="147792343">
      <w:bodyDiv w:val="1"/>
      <w:marLeft w:val="0"/>
      <w:marRight w:val="0"/>
      <w:marTop w:val="0"/>
      <w:marBottom w:val="0"/>
      <w:divBdr>
        <w:top w:val="none" w:sz="0" w:space="0" w:color="auto"/>
        <w:left w:val="none" w:sz="0" w:space="0" w:color="auto"/>
        <w:bottom w:val="none" w:sz="0" w:space="0" w:color="auto"/>
        <w:right w:val="none" w:sz="0" w:space="0" w:color="auto"/>
      </w:divBdr>
    </w:div>
    <w:div w:id="217670274">
      <w:bodyDiv w:val="1"/>
      <w:marLeft w:val="0"/>
      <w:marRight w:val="0"/>
      <w:marTop w:val="0"/>
      <w:marBottom w:val="0"/>
      <w:divBdr>
        <w:top w:val="none" w:sz="0" w:space="0" w:color="auto"/>
        <w:left w:val="none" w:sz="0" w:space="0" w:color="auto"/>
        <w:bottom w:val="none" w:sz="0" w:space="0" w:color="auto"/>
        <w:right w:val="none" w:sz="0" w:space="0" w:color="auto"/>
      </w:divBdr>
    </w:div>
    <w:div w:id="299725739">
      <w:bodyDiv w:val="1"/>
      <w:marLeft w:val="0"/>
      <w:marRight w:val="0"/>
      <w:marTop w:val="0"/>
      <w:marBottom w:val="0"/>
      <w:divBdr>
        <w:top w:val="none" w:sz="0" w:space="0" w:color="auto"/>
        <w:left w:val="none" w:sz="0" w:space="0" w:color="auto"/>
        <w:bottom w:val="none" w:sz="0" w:space="0" w:color="auto"/>
        <w:right w:val="none" w:sz="0" w:space="0" w:color="auto"/>
      </w:divBdr>
    </w:div>
    <w:div w:id="332802175">
      <w:bodyDiv w:val="1"/>
      <w:marLeft w:val="0"/>
      <w:marRight w:val="0"/>
      <w:marTop w:val="0"/>
      <w:marBottom w:val="0"/>
      <w:divBdr>
        <w:top w:val="none" w:sz="0" w:space="0" w:color="auto"/>
        <w:left w:val="none" w:sz="0" w:space="0" w:color="auto"/>
        <w:bottom w:val="none" w:sz="0" w:space="0" w:color="auto"/>
        <w:right w:val="none" w:sz="0" w:space="0" w:color="auto"/>
      </w:divBdr>
    </w:div>
    <w:div w:id="441414562">
      <w:bodyDiv w:val="1"/>
      <w:marLeft w:val="0"/>
      <w:marRight w:val="0"/>
      <w:marTop w:val="0"/>
      <w:marBottom w:val="0"/>
      <w:divBdr>
        <w:top w:val="none" w:sz="0" w:space="0" w:color="auto"/>
        <w:left w:val="none" w:sz="0" w:space="0" w:color="auto"/>
        <w:bottom w:val="none" w:sz="0" w:space="0" w:color="auto"/>
        <w:right w:val="none" w:sz="0" w:space="0" w:color="auto"/>
      </w:divBdr>
    </w:div>
    <w:div w:id="626664619">
      <w:bodyDiv w:val="1"/>
      <w:marLeft w:val="0"/>
      <w:marRight w:val="0"/>
      <w:marTop w:val="0"/>
      <w:marBottom w:val="0"/>
      <w:divBdr>
        <w:top w:val="none" w:sz="0" w:space="0" w:color="auto"/>
        <w:left w:val="none" w:sz="0" w:space="0" w:color="auto"/>
        <w:bottom w:val="none" w:sz="0" w:space="0" w:color="auto"/>
        <w:right w:val="none" w:sz="0" w:space="0" w:color="auto"/>
      </w:divBdr>
    </w:div>
    <w:div w:id="632642106">
      <w:bodyDiv w:val="1"/>
      <w:marLeft w:val="0"/>
      <w:marRight w:val="0"/>
      <w:marTop w:val="0"/>
      <w:marBottom w:val="0"/>
      <w:divBdr>
        <w:top w:val="none" w:sz="0" w:space="0" w:color="auto"/>
        <w:left w:val="none" w:sz="0" w:space="0" w:color="auto"/>
        <w:bottom w:val="none" w:sz="0" w:space="0" w:color="auto"/>
        <w:right w:val="none" w:sz="0" w:space="0" w:color="auto"/>
      </w:divBdr>
    </w:div>
    <w:div w:id="649483969">
      <w:bodyDiv w:val="1"/>
      <w:marLeft w:val="0"/>
      <w:marRight w:val="0"/>
      <w:marTop w:val="0"/>
      <w:marBottom w:val="0"/>
      <w:divBdr>
        <w:top w:val="none" w:sz="0" w:space="0" w:color="auto"/>
        <w:left w:val="none" w:sz="0" w:space="0" w:color="auto"/>
        <w:bottom w:val="none" w:sz="0" w:space="0" w:color="auto"/>
        <w:right w:val="none" w:sz="0" w:space="0" w:color="auto"/>
      </w:divBdr>
      <w:divsChild>
        <w:div w:id="757597852">
          <w:marLeft w:val="0"/>
          <w:marRight w:val="0"/>
          <w:marTop w:val="0"/>
          <w:marBottom w:val="0"/>
          <w:divBdr>
            <w:top w:val="none" w:sz="0" w:space="0" w:color="auto"/>
            <w:left w:val="none" w:sz="0" w:space="0" w:color="auto"/>
            <w:bottom w:val="none" w:sz="0" w:space="0" w:color="auto"/>
            <w:right w:val="none" w:sz="0" w:space="0" w:color="auto"/>
          </w:divBdr>
        </w:div>
        <w:div w:id="2062435624">
          <w:marLeft w:val="0"/>
          <w:marRight w:val="0"/>
          <w:marTop w:val="0"/>
          <w:marBottom w:val="0"/>
          <w:divBdr>
            <w:top w:val="none" w:sz="0" w:space="0" w:color="auto"/>
            <w:left w:val="none" w:sz="0" w:space="0" w:color="auto"/>
            <w:bottom w:val="none" w:sz="0" w:space="0" w:color="auto"/>
            <w:right w:val="none" w:sz="0" w:space="0" w:color="auto"/>
          </w:divBdr>
          <w:divsChild>
            <w:div w:id="118186568">
              <w:marLeft w:val="0"/>
              <w:marRight w:val="0"/>
              <w:marTop w:val="0"/>
              <w:marBottom w:val="0"/>
              <w:divBdr>
                <w:top w:val="none" w:sz="0" w:space="0" w:color="auto"/>
                <w:left w:val="none" w:sz="0" w:space="0" w:color="auto"/>
                <w:bottom w:val="none" w:sz="0" w:space="0" w:color="auto"/>
                <w:right w:val="none" w:sz="0" w:space="0" w:color="auto"/>
              </w:divBdr>
              <w:divsChild>
                <w:div w:id="1569195569">
                  <w:marLeft w:val="0"/>
                  <w:marRight w:val="0"/>
                  <w:marTop w:val="0"/>
                  <w:marBottom w:val="0"/>
                  <w:divBdr>
                    <w:top w:val="none" w:sz="0" w:space="0" w:color="auto"/>
                    <w:left w:val="none" w:sz="0" w:space="0" w:color="auto"/>
                    <w:bottom w:val="none" w:sz="0" w:space="0" w:color="auto"/>
                    <w:right w:val="none" w:sz="0" w:space="0" w:color="auto"/>
                  </w:divBdr>
                  <w:divsChild>
                    <w:div w:id="1094595173">
                      <w:marLeft w:val="0"/>
                      <w:marRight w:val="0"/>
                      <w:marTop w:val="0"/>
                      <w:marBottom w:val="0"/>
                      <w:divBdr>
                        <w:top w:val="none" w:sz="0" w:space="0" w:color="auto"/>
                        <w:left w:val="none" w:sz="0" w:space="0" w:color="auto"/>
                        <w:bottom w:val="none" w:sz="0" w:space="0" w:color="auto"/>
                        <w:right w:val="none" w:sz="0" w:space="0" w:color="auto"/>
                      </w:divBdr>
                      <w:divsChild>
                        <w:div w:id="719666028">
                          <w:marLeft w:val="0"/>
                          <w:marRight w:val="0"/>
                          <w:marTop w:val="0"/>
                          <w:marBottom w:val="0"/>
                          <w:divBdr>
                            <w:top w:val="none" w:sz="0" w:space="0" w:color="auto"/>
                            <w:left w:val="none" w:sz="0" w:space="0" w:color="auto"/>
                            <w:bottom w:val="none" w:sz="0" w:space="0" w:color="auto"/>
                            <w:right w:val="none" w:sz="0" w:space="0" w:color="auto"/>
                          </w:divBdr>
                          <w:divsChild>
                            <w:div w:id="526679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14888342">
      <w:bodyDiv w:val="1"/>
      <w:marLeft w:val="0"/>
      <w:marRight w:val="0"/>
      <w:marTop w:val="0"/>
      <w:marBottom w:val="0"/>
      <w:divBdr>
        <w:top w:val="none" w:sz="0" w:space="0" w:color="auto"/>
        <w:left w:val="none" w:sz="0" w:space="0" w:color="auto"/>
        <w:bottom w:val="none" w:sz="0" w:space="0" w:color="auto"/>
        <w:right w:val="none" w:sz="0" w:space="0" w:color="auto"/>
      </w:divBdr>
    </w:div>
    <w:div w:id="757559662">
      <w:bodyDiv w:val="1"/>
      <w:marLeft w:val="0"/>
      <w:marRight w:val="0"/>
      <w:marTop w:val="0"/>
      <w:marBottom w:val="0"/>
      <w:divBdr>
        <w:top w:val="none" w:sz="0" w:space="0" w:color="auto"/>
        <w:left w:val="none" w:sz="0" w:space="0" w:color="auto"/>
        <w:bottom w:val="none" w:sz="0" w:space="0" w:color="auto"/>
        <w:right w:val="none" w:sz="0" w:space="0" w:color="auto"/>
      </w:divBdr>
    </w:div>
    <w:div w:id="781612099">
      <w:bodyDiv w:val="1"/>
      <w:marLeft w:val="0"/>
      <w:marRight w:val="0"/>
      <w:marTop w:val="0"/>
      <w:marBottom w:val="0"/>
      <w:divBdr>
        <w:top w:val="none" w:sz="0" w:space="0" w:color="auto"/>
        <w:left w:val="none" w:sz="0" w:space="0" w:color="auto"/>
        <w:bottom w:val="none" w:sz="0" w:space="0" w:color="auto"/>
        <w:right w:val="none" w:sz="0" w:space="0" w:color="auto"/>
      </w:divBdr>
    </w:div>
    <w:div w:id="849175963">
      <w:bodyDiv w:val="1"/>
      <w:marLeft w:val="0"/>
      <w:marRight w:val="0"/>
      <w:marTop w:val="0"/>
      <w:marBottom w:val="0"/>
      <w:divBdr>
        <w:top w:val="none" w:sz="0" w:space="0" w:color="auto"/>
        <w:left w:val="none" w:sz="0" w:space="0" w:color="auto"/>
        <w:bottom w:val="none" w:sz="0" w:space="0" w:color="auto"/>
        <w:right w:val="none" w:sz="0" w:space="0" w:color="auto"/>
      </w:divBdr>
    </w:div>
    <w:div w:id="935749681">
      <w:bodyDiv w:val="1"/>
      <w:marLeft w:val="0"/>
      <w:marRight w:val="0"/>
      <w:marTop w:val="0"/>
      <w:marBottom w:val="0"/>
      <w:divBdr>
        <w:top w:val="none" w:sz="0" w:space="0" w:color="auto"/>
        <w:left w:val="none" w:sz="0" w:space="0" w:color="auto"/>
        <w:bottom w:val="none" w:sz="0" w:space="0" w:color="auto"/>
        <w:right w:val="none" w:sz="0" w:space="0" w:color="auto"/>
      </w:divBdr>
    </w:div>
    <w:div w:id="946698894">
      <w:bodyDiv w:val="1"/>
      <w:marLeft w:val="0"/>
      <w:marRight w:val="0"/>
      <w:marTop w:val="0"/>
      <w:marBottom w:val="0"/>
      <w:divBdr>
        <w:top w:val="none" w:sz="0" w:space="0" w:color="auto"/>
        <w:left w:val="none" w:sz="0" w:space="0" w:color="auto"/>
        <w:bottom w:val="none" w:sz="0" w:space="0" w:color="auto"/>
        <w:right w:val="none" w:sz="0" w:space="0" w:color="auto"/>
      </w:divBdr>
      <w:divsChild>
        <w:div w:id="437525494">
          <w:marLeft w:val="0"/>
          <w:marRight w:val="0"/>
          <w:marTop w:val="0"/>
          <w:marBottom w:val="0"/>
          <w:divBdr>
            <w:top w:val="none" w:sz="0" w:space="0" w:color="auto"/>
            <w:left w:val="none" w:sz="0" w:space="0" w:color="auto"/>
            <w:bottom w:val="none" w:sz="0" w:space="0" w:color="auto"/>
            <w:right w:val="none" w:sz="0" w:space="0" w:color="auto"/>
          </w:divBdr>
        </w:div>
      </w:divsChild>
    </w:div>
    <w:div w:id="1020276863">
      <w:bodyDiv w:val="1"/>
      <w:marLeft w:val="0"/>
      <w:marRight w:val="0"/>
      <w:marTop w:val="0"/>
      <w:marBottom w:val="0"/>
      <w:divBdr>
        <w:top w:val="none" w:sz="0" w:space="0" w:color="auto"/>
        <w:left w:val="none" w:sz="0" w:space="0" w:color="auto"/>
        <w:bottom w:val="none" w:sz="0" w:space="0" w:color="auto"/>
        <w:right w:val="none" w:sz="0" w:space="0" w:color="auto"/>
      </w:divBdr>
    </w:div>
    <w:div w:id="1106148710">
      <w:bodyDiv w:val="1"/>
      <w:marLeft w:val="0"/>
      <w:marRight w:val="0"/>
      <w:marTop w:val="0"/>
      <w:marBottom w:val="0"/>
      <w:divBdr>
        <w:top w:val="none" w:sz="0" w:space="0" w:color="auto"/>
        <w:left w:val="none" w:sz="0" w:space="0" w:color="auto"/>
        <w:bottom w:val="none" w:sz="0" w:space="0" w:color="auto"/>
        <w:right w:val="none" w:sz="0" w:space="0" w:color="auto"/>
      </w:divBdr>
    </w:div>
    <w:div w:id="1189104118">
      <w:bodyDiv w:val="1"/>
      <w:marLeft w:val="0"/>
      <w:marRight w:val="0"/>
      <w:marTop w:val="0"/>
      <w:marBottom w:val="0"/>
      <w:divBdr>
        <w:top w:val="none" w:sz="0" w:space="0" w:color="auto"/>
        <w:left w:val="none" w:sz="0" w:space="0" w:color="auto"/>
        <w:bottom w:val="none" w:sz="0" w:space="0" w:color="auto"/>
        <w:right w:val="none" w:sz="0" w:space="0" w:color="auto"/>
      </w:divBdr>
    </w:div>
    <w:div w:id="1256130286">
      <w:bodyDiv w:val="1"/>
      <w:marLeft w:val="0"/>
      <w:marRight w:val="0"/>
      <w:marTop w:val="0"/>
      <w:marBottom w:val="0"/>
      <w:divBdr>
        <w:top w:val="none" w:sz="0" w:space="0" w:color="auto"/>
        <w:left w:val="none" w:sz="0" w:space="0" w:color="auto"/>
        <w:bottom w:val="none" w:sz="0" w:space="0" w:color="auto"/>
        <w:right w:val="none" w:sz="0" w:space="0" w:color="auto"/>
      </w:divBdr>
      <w:divsChild>
        <w:div w:id="532773255">
          <w:marLeft w:val="0"/>
          <w:marRight w:val="0"/>
          <w:marTop w:val="0"/>
          <w:marBottom w:val="0"/>
          <w:divBdr>
            <w:top w:val="none" w:sz="0" w:space="0" w:color="auto"/>
            <w:left w:val="none" w:sz="0" w:space="0" w:color="auto"/>
            <w:bottom w:val="none" w:sz="0" w:space="0" w:color="auto"/>
            <w:right w:val="none" w:sz="0" w:space="0" w:color="auto"/>
          </w:divBdr>
        </w:div>
      </w:divsChild>
    </w:div>
    <w:div w:id="1280798053">
      <w:bodyDiv w:val="1"/>
      <w:marLeft w:val="0"/>
      <w:marRight w:val="0"/>
      <w:marTop w:val="0"/>
      <w:marBottom w:val="0"/>
      <w:divBdr>
        <w:top w:val="none" w:sz="0" w:space="0" w:color="auto"/>
        <w:left w:val="none" w:sz="0" w:space="0" w:color="auto"/>
        <w:bottom w:val="none" w:sz="0" w:space="0" w:color="auto"/>
        <w:right w:val="none" w:sz="0" w:space="0" w:color="auto"/>
      </w:divBdr>
    </w:div>
    <w:div w:id="1322006326">
      <w:bodyDiv w:val="1"/>
      <w:marLeft w:val="0"/>
      <w:marRight w:val="0"/>
      <w:marTop w:val="0"/>
      <w:marBottom w:val="0"/>
      <w:divBdr>
        <w:top w:val="none" w:sz="0" w:space="0" w:color="auto"/>
        <w:left w:val="none" w:sz="0" w:space="0" w:color="auto"/>
        <w:bottom w:val="none" w:sz="0" w:space="0" w:color="auto"/>
        <w:right w:val="none" w:sz="0" w:space="0" w:color="auto"/>
      </w:divBdr>
    </w:div>
    <w:div w:id="1349911191">
      <w:bodyDiv w:val="1"/>
      <w:marLeft w:val="0"/>
      <w:marRight w:val="0"/>
      <w:marTop w:val="0"/>
      <w:marBottom w:val="0"/>
      <w:divBdr>
        <w:top w:val="none" w:sz="0" w:space="0" w:color="auto"/>
        <w:left w:val="none" w:sz="0" w:space="0" w:color="auto"/>
        <w:bottom w:val="none" w:sz="0" w:space="0" w:color="auto"/>
        <w:right w:val="none" w:sz="0" w:space="0" w:color="auto"/>
      </w:divBdr>
    </w:div>
    <w:div w:id="1413039201">
      <w:bodyDiv w:val="1"/>
      <w:marLeft w:val="0"/>
      <w:marRight w:val="0"/>
      <w:marTop w:val="0"/>
      <w:marBottom w:val="0"/>
      <w:divBdr>
        <w:top w:val="none" w:sz="0" w:space="0" w:color="auto"/>
        <w:left w:val="none" w:sz="0" w:space="0" w:color="auto"/>
        <w:bottom w:val="none" w:sz="0" w:space="0" w:color="auto"/>
        <w:right w:val="none" w:sz="0" w:space="0" w:color="auto"/>
      </w:divBdr>
    </w:div>
    <w:div w:id="1485661334">
      <w:bodyDiv w:val="1"/>
      <w:marLeft w:val="0"/>
      <w:marRight w:val="0"/>
      <w:marTop w:val="0"/>
      <w:marBottom w:val="0"/>
      <w:divBdr>
        <w:top w:val="none" w:sz="0" w:space="0" w:color="auto"/>
        <w:left w:val="none" w:sz="0" w:space="0" w:color="auto"/>
        <w:bottom w:val="none" w:sz="0" w:space="0" w:color="auto"/>
        <w:right w:val="none" w:sz="0" w:space="0" w:color="auto"/>
      </w:divBdr>
    </w:div>
    <w:div w:id="1548176471">
      <w:bodyDiv w:val="1"/>
      <w:marLeft w:val="0"/>
      <w:marRight w:val="0"/>
      <w:marTop w:val="0"/>
      <w:marBottom w:val="0"/>
      <w:divBdr>
        <w:top w:val="none" w:sz="0" w:space="0" w:color="auto"/>
        <w:left w:val="none" w:sz="0" w:space="0" w:color="auto"/>
        <w:bottom w:val="none" w:sz="0" w:space="0" w:color="auto"/>
        <w:right w:val="none" w:sz="0" w:space="0" w:color="auto"/>
      </w:divBdr>
    </w:div>
    <w:div w:id="1625426959">
      <w:bodyDiv w:val="1"/>
      <w:marLeft w:val="0"/>
      <w:marRight w:val="0"/>
      <w:marTop w:val="0"/>
      <w:marBottom w:val="0"/>
      <w:divBdr>
        <w:top w:val="none" w:sz="0" w:space="0" w:color="auto"/>
        <w:left w:val="none" w:sz="0" w:space="0" w:color="auto"/>
        <w:bottom w:val="none" w:sz="0" w:space="0" w:color="auto"/>
        <w:right w:val="none" w:sz="0" w:space="0" w:color="auto"/>
      </w:divBdr>
    </w:div>
    <w:div w:id="1664045253">
      <w:bodyDiv w:val="1"/>
      <w:marLeft w:val="0"/>
      <w:marRight w:val="0"/>
      <w:marTop w:val="0"/>
      <w:marBottom w:val="0"/>
      <w:divBdr>
        <w:top w:val="none" w:sz="0" w:space="0" w:color="auto"/>
        <w:left w:val="none" w:sz="0" w:space="0" w:color="auto"/>
        <w:bottom w:val="none" w:sz="0" w:space="0" w:color="auto"/>
        <w:right w:val="none" w:sz="0" w:space="0" w:color="auto"/>
      </w:divBdr>
      <w:divsChild>
        <w:div w:id="1920676079">
          <w:marLeft w:val="0"/>
          <w:marRight w:val="0"/>
          <w:marTop w:val="0"/>
          <w:marBottom w:val="0"/>
          <w:divBdr>
            <w:top w:val="none" w:sz="0" w:space="0" w:color="auto"/>
            <w:left w:val="none" w:sz="0" w:space="0" w:color="auto"/>
            <w:bottom w:val="none" w:sz="0" w:space="0" w:color="auto"/>
            <w:right w:val="none" w:sz="0" w:space="0" w:color="auto"/>
          </w:divBdr>
        </w:div>
        <w:div w:id="132217444">
          <w:marLeft w:val="0"/>
          <w:marRight w:val="0"/>
          <w:marTop w:val="0"/>
          <w:marBottom w:val="0"/>
          <w:divBdr>
            <w:top w:val="none" w:sz="0" w:space="0" w:color="auto"/>
            <w:left w:val="none" w:sz="0" w:space="0" w:color="auto"/>
            <w:bottom w:val="none" w:sz="0" w:space="0" w:color="auto"/>
            <w:right w:val="none" w:sz="0" w:space="0" w:color="auto"/>
          </w:divBdr>
          <w:divsChild>
            <w:div w:id="1750299936">
              <w:marLeft w:val="0"/>
              <w:marRight w:val="0"/>
              <w:marTop w:val="0"/>
              <w:marBottom w:val="0"/>
              <w:divBdr>
                <w:top w:val="none" w:sz="0" w:space="0" w:color="auto"/>
                <w:left w:val="none" w:sz="0" w:space="0" w:color="auto"/>
                <w:bottom w:val="none" w:sz="0" w:space="0" w:color="auto"/>
                <w:right w:val="none" w:sz="0" w:space="0" w:color="auto"/>
              </w:divBdr>
            </w:div>
          </w:divsChild>
        </w:div>
        <w:div w:id="1329021215">
          <w:marLeft w:val="0"/>
          <w:marRight w:val="0"/>
          <w:marTop w:val="0"/>
          <w:marBottom w:val="0"/>
          <w:divBdr>
            <w:top w:val="none" w:sz="0" w:space="0" w:color="auto"/>
            <w:left w:val="none" w:sz="0" w:space="0" w:color="auto"/>
            <w:bottom w:val="none" w:sz="0" w:space="0" w:color="auto"/>
            <w:right w:val="none" w:sz="0" w:space="0" w:color="auto"/>
          </w:divBdr>
          <w:divsChild>
            <w:div w:id="272517074">
              <w:marLeft w:val="0"/>
              <w:marRight w:val="0"/>
              <w:marTop w:val="0"/>
              <w:marBottom w:val="0"/>
              <w:divBdr>
                <w:top w:val="none" w:sz="0" w:space="0" w:color="auto"/>
                <w:left w:val="none" w:sz="0" w:space="0" w:color="auto"/>
                <w:bottom w:val="none" w:sz="0" w:space="0" w:color="auto"/>
                <w:right w:val="none" w:sz="0" w:space="0" w:color="auto"/>
              </w:divBdr>
              <w:divsChild>
                <w:div w:id="2070960196">
                  <w:marLeft w:val="0"/>
                  <w:marRight w:val="0"/>
                  <w:marTop w:val="0"/>
                  <w:marBottom w:val="0"/>
                  <w:divBdr>
                    <w:top w:val="none" w:sz="0" w:space="0" w:color="auto"/>
                    <w:left w:val="none" w:sz="0" w:space="0" w:color="auto"/>
                    <w:bottom w:val="none" w:sz="0" w:space="0" w:color="auto"/>
                    <w:right w:val="none" w:sz="0" w:space="0" w:color="auto"/>
                  </w:divBdr>
                </w:div>
                <w:div w:id="1512139223">
                  <w:marLeft w:val="0"/>
                  <w:marRight w:val="0"/>
                  <w:marTop w:val="0"/>
                  <w:marBottom w:val="0"/>
                  <w:divBdr>
                    <w:top w:val="none" w:sz="0" w:space="0" w:color="auto"/>
                    <w:left w:val="none" w:sz="0" w:space="0" w:color="auto"/>
                    <w:bottom w:val="none" w:sz="0" w:space="0" w:color="auto"/>
                    <w:right w:val="none" w:sz="0" w:space="0" w:color="auto"/>
                  </w:divBdr>
                </w:div>
                <w:div w:id="2135556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9716348">
      <w:bodyDiv w:val="1"/>
      <w:marLeft w:val="0"/>
      <w:marRight w:val="0"/>
      <w:marTop w:val="0"/>
      <w:marBottom w:val="0"/>
      <w:divBdr>
        <w:top w:val="none" w:sz="0" w:space="0" w:color="auto"/>
        <w:left w:val="none" w:sz="0" w:space="0" w:color="auto"/>
        <w:bottom w:val="none" w:sz="0" w:space="0" w:color="auto"/>
        <w:right w:val="none" w:sz="0" w:space="0" w:color="auto"/>
      </w:divBdr>
    </w:div>
    <w:div w:id="1736707384">
      <w:bodyDiv w:val="1"/>
      <w:marLeft w:val="0"/>
      <w:marRight w:val="0"/>
      <w:marTop w:val="0"/>
      <w:marBottom w:val="0"/>
      <w:divBdr>
        <w:top w:val="none" w:sz="0" w:space="0" w:color="auto"/>
        <w:left w:val="none" w:sz="0" w:space="0" w:color="auto"/>
        <w:bottom w:val="none" w:sz="0" w:space="0" w:color="auto"/>
        <w:right w:val="none" w:sz="0" w:space="0" w:color="auto"/>
      </w:divBdr>
    </w:div>
    <w:div w:id="1831361550">
      <w:bodyDiv w:val="1"/>
      <w:marLeft w:val="0"/>
      <w:marRight w:val="0"/>
      <w:marTop w:val="0"/>
      <w:marBottom w:val="0"/>
      <w:divBdr>
        <w:top w:val="none" w:sz="0" w:space="0" w:color="auto"/>
        <w:left w:val="none" w:sz="0" w:space="0" w:color="auto"/>
        <w:bottom w:val="none" w:sz="0" w:space="0" w:color="auto"/>
        <w:right w:val="none" w:sz="0" w:space="0" w:color="auto"/>
      </w:divBdr>
    </w:div>
    <w:div w:id="1898470684">
      <w:bodyDiv w:val="1"/>
      <w:marLeft w:val="0"/>
      <w:marRight w:val="0"/>
      <w:marTop w:val="0"/>
      <w:marBottom w:val="0"/>
      <w:divBdr>
        <w:top w:val="none" w:sz="0" w:space="0" w:color="auto"/>
        <w:left w:val="none" w:sz="0" w:space="0" w:color="auto"/>
        <w:bottom w:val="none" w:sz="0" w:space="0" w:color="auto"/>
        <w:right w:val="none" w:sz="0" w:space="0" w:color="auto"/>
      </w:divBdr>
    </w:div>
    <w:div w:id="19231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ee.fr/fr/statistiques/fichier/4494175/t_7101.xls" TargetMode="External"/><Relationship Id="rId13" Type="http://schemas.openxmlformats.org/officeDocument/2006/relationships/hyperlink" Target="https://www.tradingsat.com/actualites/marches-financiers/les-chiffres-inimaginables-du-marche-des-produits-derives-674823.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afinancepourtous.com/decryptages/marches-financiers/acteurs-de-la-finance/hedge-fund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ebstat.banque-france.fr/fr/browse.do?node=5384556"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www.bis.org/publ/rpfx16.htm?m=6%7C35" TargetMode="External"/><Relationship Id="rId4" Type="http://schemas.openxmlformats.org/officeDocument/2006/relationships/settings" Target="settings.xml"/><Relationship Id="rId9" Type="http://schemas.openxmlformats.org/officeDocument/2006/relationships/hyperlink" Target="https://www.insee.fr/fr/statistiques/fichier/4131425/t_8102.xls" TargetMode="External"/><Relationship Id="rId1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550945-D00C-4151-A781-5A38EF5A62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3967</Words>
  <Characters>21819</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25735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4</cp:revision>
  <cp:lastPrinted>2020-07-09T12:09:00Z</cp:lastPrinted>
  <dcterms:created xsi:type="dcterms:W3CDTF">2020-07-09T12:09:00Z</dcterms:created>
  <dcterms:modified xsi:type="dcterms:W3CDTF">2020-07-09T12:09:00Z</dcterms:modified>
</cp:coreProperties>
</file>