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0B5854" w:rsidRPr="00287998" w:rsidTr="00621F51">
        <w:tc>
          <w:tcPr>
            <w:tcW w:w="10606" w:type="dxa"/>
          </w:tcPr>
          <w:p w:rsidR="000B5854" w:rsidRPr="007E5768" w:rsidRDefault="000B5854" w:rsidP="00621F51">
            <w:pPr>
              <w:pStyle w:val="Sansinterligne"/>
              <w:jc w:val="center"/>
              <w:rPr>
                <w:sz w:val="50"/>
                <w:szCs w:val="50"/>
              </w:rPr>
            </w:pPr>
            <w:r>
              <w:rPr>
                <w:sz w:val="50"/>
                <w:szCs w:val="50"/>
              </w:rPr>
              <w:t>Comment devenons-nous des acteurs sociaux ?</w:t>
            </w:r>
          </w:p>
          <w:p w:rsidR="000B5854" w:rsidRPr="007E5768" w:rsidRDefault="000B5854" w:rsidP="00621F51">
            <w:pPr>
              <w:pStyle w:val="Sansinterligne"/>
              <w:jc w:val="center"/>
              <w:rPr>
                <w:sz w:val="50"/>
                <w:szCs w:val="50"/>
              </w:rPr>
            </w:pPr>
            <w:r w:rsidRPr="007E5768">
              <w:rPr>
                <w:sz w:val="50"/>
                <w:szCs w:val="50"/>
              </w:rPr>
              <w:t>--</w:t>
            </w:r>
          </w:p>
          <w:p w:rsidR="000B5854" w:rsidRDefault="005652AC" w:rsidP="00621F51">
            <w:pPr>
              <w:pStyle w:val="Sansinterligne"/>
              <w:jc w:val="center"/>
              <w:rPr>
                <w:sz w:val="50"/>
                <w:szCs w:val="50"/>
              </w:rPr>
            </w:pPr>
            <w:r>
              <w:rPr>
                <w:sz w:val="50"/>
                <w:szCs w:val="50"/>
              </w:rPr>
              <w:t>La socialisation différenciée</w:t>
            </w:r>
            <w:r w:rsidR="000B5854" w:rsidRPr="007E5768">
              <w:rPr>
                <w:sz w:val="50"/>
                <w:szCs w:val="50"/>
              </w:rPr>
              <w:t xml:space="preserve"> (</w:t>
            </w:r>
            <w:r>
              <w:rPr>
                <w:sz w:val="50"/>
                <w:szCs w:val="50"/>
              </w:rPr>
              <w:t>3</w:t>
            </w:r>
            <w:r w:rsidR="000B5854" w:rsidRPr="007E5768">
              <w:rPr>
                <w:sz w:val="50"/>
                <w:szCs w:val="50"/>
              </w:rPr>
              <w:t>/</w:t>
            </w:r>
            <w:r w:rsidR="000B5854">
              <w:rPr>
                <w:sz w:val="50"/>
                <w:szCs w:val="50"/>
              </w:rPr>
              <w:t>3</w:t>
            </w:r>
            <w:r w:rsidR="000B5854" w:rsidRPr="007E5768">
              <w:rPr>
                <w:sz w:val="50"/>
                <w:szCs w:val="50"/>
              </w:rPr>
              <w:t>)</w:t>
            </w:r>
          </w:p>
          <w:p w:rsidR="000B5854" w:rsidRDefault="000B5854" w:rsidP="00621F51">
            <w:pPr>
              <w:pStyle w:val="Sansinterligne"/>
              <w:jc w:val="center"/>
              <w:rPr>
                <w:sz w:val="50"/>
                <w:szCs w:val="50"/>
              </w:rPr>
            </w:pPr>
            <w:r>
              <w:rPr>
                <w:sz w:val="50"/>
                <w:szCs w:val="50"/>
              </w:rPr>
              <w:t>--</w:t>
            </w:r>
          </w:p>
          <w:p w:rsidR="000B5854" w:rsidRPr="00287998" w:rsidRDefault="000B5854" w:rsidP="00621F51">
            <w:pPr>
              <w:pStyle w:val="Sansinterligne"/>
              <w:jc w:val="center"/>
            </w:pPr>
            <w:r>
              <w:rPr>
                <w:sz w:val="50"/>
                <w:szCs w:val="50"/>
              </w:rPr>
              <w:t>F</w:t>
            </w:r>
            <w:bookmarkStart w:id="0" w:name="_GoBack"/>
            <w:bookmarkEnd w:id="0"/>
            <w:r>
              <w:rPr>
                <w:sz w:val="50"/>
                <w:szCs w:val="50"/>
              </w:rPr>
              <w:t>ichier d’activités</w:t>
            </w:r>
          </w:p>
        </w:tc>
      </w:tr>
    </w:tbl>
    <w:p w:rsidR="000B5854" w:rsidRPr="001B6B65" w:rsidRDefault="000B5854" w:rsidP="000B5854">
      <w:pPr>
        <w:pBdr>
          <w:bottom w:val="single" w:sz="4" w:space="1" w:color="auto"/>
        </w:pBdr>
        <w:jc w:val="center"/>
        <w:rPr>
          <w:rFonts w:ascii="Calibri Light" w:hAnsi="Calibri Light"/>
          <w:b/>
          <w:color w:val="000000" w:themeColor="text1"/>
          <w:sz w:val="28"/>
          <w:szCs w:val="28"/>
        </w:rPr>
      </w:pPr>
    </w:p>
    <w:p w:rsidR="000B5854" w:rsidRPr="00506EBE" w:rsidRDefault="000B5854" w:rsidP="000B5854">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 (</w:t>
      </w:r>
      <w:r>
        <w:rPr>
          <w:rFonts w:ascii="Calibri Light" w:hAnsi="Calibri Light"/>
          <w:b/>
          <w:color w:val="000000" w:themeColor="text1"/>
          <w:sz w:val="32"/>
          <w:szCs w:val="32"/>
        </w:rPr>
        <w:t>1h</w:t>
      </w:r>
      <w:r w:rsidRPr="00506EBE">
        <w:rPr>
          <w:rFonts w:ascii="Calibri Light" w:hAnsi="Calibri Light"/>
          <w:b/>
          <w:color w:val="000000" w:themeColor="text1"/>
          <w:sz w:val="32"/>
          <w:szCs w:val="32"/>
        </w:rPr>
        <w:t>)</w:t>
      </w:r>
    </w:p>
    <w:p w:rsidR="000B5854" w:rsidRPr="00942073" w:rsidRDefault="000B5854" w:rsidP="000B5854">
      <w:pPr>
        <w:pStyle w:val="Sansinterligne"/>
      </w:pPr>
      <w:r w:rsidRPr="00942073">
        <w:t>Document</w:t>
      </w:r>
      <w:r>
        <w:t xml:space="preserve"> 1 –</w:t>
      </w:r>
      <w:r w:rsidRPr="00942073">
        <w:t xml:space="preserve"> </w:t>
      </w:r>
      <w:r>
        <w:t xml:space="preserve">La </w:t>
      </w:r>
      <w:r w:rsidR="00564FCB">
        <w:t>réussite au bac par série selon le sexe</w:t>
      </w:r>
    </w:p>
    <w:p w:rsidR="000B5854" w:rsidRPr="001B6B65" w:rsidRDefault="000B5854" w:rsidP="000B5854">
      <w:pPr>
        <w:pStyle w:val="Sansinterligne"/>
      </w:pPr>
    </w:p>
    <w:p w:rsidR="005652AC" w:rsidRDefault="005652AC" w:rsidP="005652AC">
      <w:pPr>
        <w:jc w:val="center"/>
      </w:pPr>
      <w:r>
        <w:rPr>
          <w:noProof/>
          <w:lang w:eastAsia="fr-FR"/>
        </w:rPr>
        <w:drawing>
          <wp:inline distT="0" distB="0" distL="0" distR="0">
            <wp:extent cx="5760720" cy="3529584"/>
            <wp:effectExtent l="19050" t="0" r="11430" b="0"/>
            <wp:docPr id="3" name="Graphique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0E1CCAC-5E2F-4BDD-B669-1525558A72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652AC" w:rsidRPr="005652AC" w:rsidRDefault="005652AC" w:rsidP="005652AC">
      <w:pPr>
        <w:jc w:val="right"/>
        <w:rPr>
          <w:b/>
          <w:i/>
        </w:rPr>
      </w:pPr>
      <w:r w:rsidRPr="005652AC">
        <w:rPr>
          <w:b/>
          <w:i/>
        </w:rPr>
        <w:t xml:space="preserve">Ministère de l’Éducation Nationale – </w:t>
      </w:r>
      <w:hyperlink r:id="rId8" w:anchor="Les_resultats_et_les_diplomes" w:history="1">
        <w:r w:rsidRPr="005652AC">
          <w:rPr>
            <w:rStyle w:val="Lienhypertexte"/>
            <w:b/>
            <w:i/>
          </w:rPr>
          <w:t>Séries chronologiques</w:t>
        </w:r>
      </w:hyperlink>
      <w:r w:rsidRPr="005652AC">
        <w:rPr>
          <w:b/>
          <w:i/>
        </w:rPr>
        <w:t xml:space="preserve"> - </w:t>
      </w:r>
      <w:hyperlink r:id="rId9" w:tgtFrame="_blank" w:history="1">
        <w:r w:rsidRPr="005652AC">
          <w:rPr>
            <w:rStyle w:val="Lienhypertexte"/>
            <w:b/>
            <w:i/>
          </w:rPr>
          <w:t xml:space="preserve">La réussite au baccalauréat par série selon le sexe ou par origine sociale </w:t>
        </w:r>
      </w:hyperlink>
      <w:r w:rsidRPr="005652AC">
        <w:rPr>
          <w:b/>
          <w:i/>
          <w:iCs/>
        </w:rPr>
        <w:t>(actualisée en décembre 2018)</w:t>
      </w:r>
    </w:p>
    <w:p w:rsidR="005652AC" w:rsidRPr="005652AC" w:rsidRDefault="005652AC" w:rsidP="005652AC">
      <w:pPr>
        <w:spacing w:after="0" w:line="240" w:lineRule="auto"/>
        <w:rPr>
          <w:sz w:val="16"/>
          <w:szCs w:val="16"/>
        </w:rPr>
      </w:pPr>
      <w:r w:rsidRPr="005652AC">
        <w:rPr>
          <w:sz w:val="16"/>
          <w:szCs w:val="16"/>
        </w:rPr>
        <w:t>ST2S = Sciences et Technologies de la Santé et du Social</w:t>
      </w:r>
    </w:p>
    <w:p w:rsidR="005652AC" w:rsidRPr="005652AC" w:rsidRDefault="005652AC" w:rsidP="005652AC">
      <w:pPr>
        <w:spacing w:after="0" w:line="240" w:lineRule="auto"/>
        <w:rPr>
          <w:sz w:val="16"/>
          <w:szCs w:val="16"/>
        </w:rPr>
      </w:pPr>
      <w:r w:rsidRPr="005652AC">
        <w:rPr>
          <w:sz w:val="16"/>
          <w:szCs w:val="16"/>
        </w:rPr>
        <w:t>L = Littéraire</w:t>
      </w:r>
    </w:p>
    <w:p w:rsidR="005652AC" w:rsidRPr="005652AC" w:rsidRDefault="005652AC" w:rsidP="005652AC">
      <w:pPr>
        <w:spacing w:after="0" w:line="240" w:lineRule="auto"/>
        <w:rPr>
          <w:sz w:val="16"/>
          <w:szCs w:val="16"/>
        </w:rPr>
      </w:pPr>
      <w:r w:rsidRPr="005652AC">
        <w:rPr>
          <w:sz w:val="16"/>
          <w:szCs w:val="16"/>
        </w:rPr>
        <w:t>STMG = Sciences et Technologies du Management et de la Gestion</w:t>
      </w:r>
    </w:p>
    <w:p w:rsidR="005652AC" w:rsidRPr="005652AC" w:rsidRDefault="005652AC" w:rsidP="005652AC">
      <w:pPr>
        <w:spacing w:after="0" w:line="240" w:lineRule="auto"/>
        <w:rPr>
          <w:sz w:val="16"/>
          <w:szCs w:val="16"/>
        </w:rPr>
      </w:pPr>
      <w:r w:rsidRPr="005652AC">
        <w:rPr>
          <w:sz w:val="16"/>
          <w:szCs w:val="16"/>
        </w:rPr>
        <w:t>ES = Economique et Social</w:t>
      </w:r>
    </w:p>
    <w:p w:rsidR="005652AC" w:rsidRPr="005652AC" w:rsidRDefault="005652AC" w:rsidP="005652AC">
      <w:pPr>
        <w:spacing w:after="0" w:line="240" w:lineRule="auto"/>
        <w:rPr>
          <w:sz w:val="16"/>
          <w:szCs w:val="16"/>
        </w:rPr>
      </w:pPr>
      <w:r w:rsidRPr="005652AC">
        <w:rPr>
          <w:sz w:val="16"/>
          <w:szCs w:val="16"/>
        </w:rPr>
        <w:t>S = Scientifique</w:t>
      </w:r>
    </w:p>
    <w:p w:rsidR="005652AC" w:rsidRDefault="005652AC" w:rsidP="005652AC">
      <w:pPr>
        <w:spacing w:after="0" w:line="240" w:lineRule="auto"/>
        <w:rPr>
          <w:sz w:val="16"/>
          <w:szCs w:val="16"/>
        </w:rPr>
      </w:pPr>
      <w:r w:rsidRPr="005652AC">
        <w:rPr>
          <w:sz w:val="16"/>
          <w:szCs w:val="16"/>
        </w:rPr>
        <w:t>STI2D = Sciences et Technologies de l’Industrie et du Développement Durable</w:t>
      </w:r>
    </w:p>
    <w:p w:rsidR="005652AC" w:rsidRPr="005652AC" w:rsidRDefault="005652AC" w:rsidP="005652AC">
      <w:pPr>
        <w:spacing w:after="0" w:line="240" w:lineRule="auto"/>
        <w:rPr>
          <w:sz w:val="16"/>
          <w:szCs w:val="16"/>
        </w:rPr>
      </w:pPr>
    </w:p>
    <w:p w:rsidR="005652AC" w:rsidRPr="005652AC" w:rsidRDefault="005652AC" w:rsidP="005652AC">
      <w:pPr>
        <w:pStyle w:val="Paragraphedeliste"/>
        <w:widowControl w:val="0"/>
        <w:numPr>
          <w:ilvl w:val="0"/>
          <w:numId w:val="10"/>
        </w:numPr>
        <w:autoSpaceDE w:val="0"/>
        <w:autoSpaceDN w:val="0"/>
        <w:adjustRightInd w:val="0"/>
        <w:spacing w:after="0" w:line="240" w:lineRule="auto"/>
        <w:jc w:val="left"/>
        <w:rPr>
          <w:rFonts w:ascii="Calibri" w:hAnsi="Calibri" w:cs="Calibri"/>
        </w:rPr>
      </w:pPr>
      <w:r w:rsidRPr="005652AC">
        <w:rPr>
          <w:rFonts w:ascii="Calibri" w:hAnsi="Calibri" w:cs="Calibri"/>
        </w:rPr>
        <w:t>Quelle était la part des filles parmi les bacheliers de la série STI2D en 1995 ?</w:t>
      </w:r>
    </w:p>
    <w:p w:rsidR="005652AC" w:rsidRPr="005652AC" w:rsidRDefault="005652AC" w:rsidP="005652AC">
      <w:pPr>
        <w:pStyle w:val="Paragraphedeliste"/>
        <w:widowControl w:val="0"/>
        <w:numPr>
          <w:ilvl w:val="0"/>
          <w:numId w:val="10"/>
        </w:numPr>
        <w:autoSpaceDE w:val="0"/>
        <w:autoSpaceDN w:val="0"/>
        <w:adjustRightInd w:val="0"/>
        <w:spacing w:after="0" w:line="240" w:lineRule="auto"/>
        <w:jc w:val="left"/>
        <w:rPr>
          <w:rFonts w:ascii="Calibri" w:hAnsi="Calibri" w:cs="Calibri"/>
        </w:rPr>
      </w:pPr>
      <w:r w:rsidRPr="005652AC">
        <w:rPr>
          <w:rFonts w:ascii="Calibri" w:hAnsi="Calibri" w:cs="Calibri"/>
        </w:rPr>
        <w:t>Quelle était la part des filles parmi les bacheliers de la série ST2S en 1995 ?</w:t>
      </w:r>
    </w:p>
    <w:p w:rsidR="005652AC" w:rsidRPr="005652AC" w:rsidRDefault="005652AC" w:rsidP="005652AC">
      <w:pPr>
        <w:pStyle w:val="Paragraphedeliste"/>
        <w:widowControl w:val="0"/>
        <w:numPr>
          <w:ilvl w:val="0"/>
          <w:numId w:val="10"/>
        </w:numPr>
        <w:autoSpaceDE w:val="0"/>
        <w:autoSpaceDN w:val="0"/>
        <w:adjustRightInd w:val="0"/>
        <w:spacing w:after="0" w:line="240" w:lineRule="auto"/>
        <w:jc w:val="left"/>
        <w:rPr>
          <w:rFonts w:ascii="Calibri" w:hAnsi="Calibri" w:cs="Calibri"/>
        </w:rPr>
      </w:pPr>
      <w:r w:rsidRPr="005652AC">
        <w:rPr>
          <w:rFonts w:ascii="Calibri" w:hAnsi="Calibri" w:cs="Calibri"/>
        </w:rPr>
        <w:t>Divisez la proportion de filles par la proportion de garçons parmi les bacheliers de la série L en 1995. Faites une phrase avec le résultat.</w:t>
      </w:r>
    </w:p>
    <w:p w:rsidR="005652AC" w:rsidRPr="005652AC" w:rsidRDefault="005652AC" w:rsidP="005652AC">
      <w:pPr>
        <w:pStyle w:val="Paragraphedeliste"/>
        <w:widowControl w:val="0"/>
        <w:numPr>
          <w:ilvl w:val="0"/>
          <w:numId w:val="10"/>
        </w:numPr>
        <w:autoSpaceDE w:val="0"/>
        <w:autoSpaceDN w:val="0"/>
        <w:adjustRightInd w:val="0"/>
        <w:spacing w:after="0" w:line="240" w:lineRule="auto"/>
        <w:jc w:val="left"/>
        <w:rPr>
          <w:rFonts w:ascii="Calibri" w:hAnsi="Calibri" w:cs="Calibri"/>
        </w:rPr>
      </w:pPr>
      <w:r w:rsidRPr="005652AC">
        <w:rPr>
          <w:rFonts w:ascii="Calibri" w:hAnsi="Calibri" w:cs="Calibri"/>
        </w:rPr>
        <w:t>Quelles sont les filières les plus féminisées ? Les plus masculinisées ?</w:t>
      </w:r>
    </w:p>
    <w:p w:rsidR="000B5854" w:rsidRPr="001B6B65" w:rsidRDefault="005652AC" w:rsidP="000B5854">
      <w:pPr>
        <w:pStyle w:val="Paragraphedeliste"/>
        <w:widowControl w:val="0"/>
        <w:numPr>
          <w:ilvl w:val="0"/>
          <w:numId w:val="10"/>
        </w:numPr>
        <w:autoSpaceDE w:val="0"/>
        <w:autoSpaceDN w:val="0"/>
        <w:adjustRightInd w:val="0"/>
        <w:spacing w:after="0" w:line="240" w:lineRule="auto"/>
        <w:jc w:val="left"/>
      </w:pPr>
      <w:r w:rsidRPr="005652AC">
        <w:rPr>
          <w:rFonts w:ascii="Calibri" w:hAnsi="Calibri" w:cs="Calibri"/>
        </w:rPr>
        <w:t>Se rapproche-t-on de la parité Hommes-Femmes dans les choix des séries du bac ?</w:t>
      </w:r>
    </w:p>
    <w:p w:rsidR="000B5854" w:rsidRDefault="000B5854" w:rsidP="000B5854">
      <w:pPr>
        <w:jc w:val="left"/>
        <w:rPr>
          <w:rFonts w:ascii="Calibri Light" w:hAnsi="Calibri Light"/>
          <w:b/>
          <w:noProof/>
          <w:color w:val="000000" w:themeColor="text1"/>
          <w:sz w:val="24"/>
          <w:szCs w:val="24"/>
          <w:lang w:eastAsia="fr-FR"/>
        </w:rPr>
      </w:pPr>
      <w:r>
        <w:br w:type="page"/>
      </w:r>
    </w:p>
    <w:p w:rsidR="000B5854" w:rsidRPr="00942073" w:rsidRDefault="000B5854" w:rsidP="000B5854">
      <w:pPr>
        <w:pStyle w:val="Sansinterligne"/>
      </w:pPr>
      <w:r w:rsidRPr="00942073">
        <w:lastRenderedPageBreak/>
        <w:t>Document</w:t>
      </w:r>
      <w:r>
        <w:t xml:space="preserve"> 2 –</w:t>
      </w:r>
      <w:r w:rsidRPr="00942073">
        <w:t xml:space="preserve"> </w:t>
      </w:r>
      <w:r w:rsidR="00564FCB">
        <w:t>La part des femmes dans l’emploi selon le groupe socioprofessionnel</w:t>
      </w:r>
    </w:p>
    <w:p w:rsidR="000B5854" w:rsidRDefault="000B5854" w:rsidP="000B5854">
      <w:pPr>
        <w:pStyle w:val="Sansinterligne"/>
      </w:pPr>
    </w:p>
    <w:p w:rsidR="00564FCB" w:rsidRDefault="00564FCB" w:rsidP="00564FCB">
      <w:pPr>
        <w:jc w:val="center"/>
      </w:pPr>
      <w:r>
        <w:rPr>
          <w:noProof/>
          <w:lang w:eastAsia="fr-FR"/>
        </w:rPr>
        <w:drawing>
          <wp:inline distT="0" distB="0" distL="0" distR="0">
            <wp:extent cx="5759450" cy="3763010"/>
            <wp:effectExtent l="0" t="0" r="12700" b="8890"/>
            <wp:docPr id="4" name="Graphique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4FCB" w:rsidRDefault="00564FCB" w:rsidP="00564FCB">
      <w:r>
        <w:t>Champ : France métropolitaine, personnes occupant un emploi.</w:t>
      </w:r>
    </w:p>
    <w:p w:rsidR="00564FCB" w:rsidRDefault="00564FCB" w:rsidP="00564FCB">
      <w:pPr>
        <w:jc w:val="right"/>
      </w:pPr>
    </w:p>
    <w:p w:rsidR="00564FCB" w:rsidRPr="00564FCB" w:rsidRDefault="00564FCB" w:rsidP="00564FCB">
      <w:pPr>
        <w:jc w:val="right"/>
        <w:rPr>
          <w:b/>
          <w:i/>
        </w:rPr>
      </w:pPr>
      <w:r w:rsidRPr="00564FCB">
        <w:rPr>
          <w:b/>
          <w:i/>
        </w:rPr>
        <w:t xml:space="preserve">D’après INSEE - Enquête emploi en continu - Insee Résultats </w:t>
      </w:r>
      <w:hyperlink r:id="rId11" w:history="1">
        <w:r w:rsidRPr="00564FCB">
          <w:rPr>
            <w:rStyle w:val="Lienhypertexte"/>
            <w:b/>
            <w:i/>
          </w:rPr>
          <w:t>- Activité, emploi et chômage en 2017 et en séries longues</w:t>
        </w:r>
      </w:hyperlink>
      <w:r w:rsidRPr="00564FCB">
        <w:rPr>
          <w:b/>
          <w:i/>
        </w:rPr>
        <w:t xml:space="preserve"> (</w:t>
      </w:r>
      <w:hyperlink r:id="rId12" w:history="1">
        <w:r w:rsidRPr="00564FCB">
          <w:rPr>
            <w:rStyle w:val="Lienhypertexte"/>
            <w:b/>
            <w:i/>
          </w:rPr>
          <w:t>tableau t205</w:t>
        </w:r>
      </w:hyperlink>
      <w:r w:rsidRPr="00564FCB">
        <w:rPr>
          <w:b/>
          <w:i/>
        </w:rPr>
        <w:t>), septembre 2018.</w:t>
      </w:r>
    </w:p>
    <w:p w:rsidR="00564FCB" w:rsidRDefault="00564FCB" w:rsidP="00564FCB"/>
    <w:p w:rsidR="00564FCB" w:rsidRDefault="00564FCB" w:rsidP="00564FCB"/>
    <w:p w:rsidR="00564FCB" w:rsidRPr="00564FCB" w:rsidRDefault="00564FCB" w:rsidP="00564FCB">
      <w:pPr>
        <w:pStyle w:val="Paragraphedeliste"/>
        <w:widowControl w:val="0"/>
        <w:numPr>
          <w:ilvl w:val="0"/>
          <w:numId w:val="11"/>
        </w:numPr>
        <w:autoSpaceDE w:val="0"/>
        <w:autoSpaceDN w:val="0"/>
        <w:adjustRightInd w:val="0"/>
        <w:spacing w:after="0" w:line="240" w:lineRule="auto"/>
        <w:rPr>
          <w:rFonts w:ascii="Calibri" w:hAnsi="Calibri" w:cs="Calibri"/>
        </w:rPr>
      </w:pPr>
      <w:r w:rsidRPr="00564FCB">
        <w:rPr>
          <w:rFonts w:ascii="Calibri" w:hAnsi="Calibri" w:cs="Calibri"/>
        </w:rPr>
        <w:t>Quelle était la part des femmes parmi les emplois d’ouvriers qualifiés en 1982 ?</w:t>
      </w:r>
    </w:p>
    <w:p w:rsidR="00564FCB" w:rsidRPr="00564FCB" w:rsidRDefault="00564FCB" w:rsidP="00564FCB">
      <w:pPr>
        <w:pStyle w:val="Paragraphedeliste"/>
        <w:widowControl w:val="0"/>
        <w:numPr>
          <w:ilvl w:val="0"/>
          <w:numId w:val="11"/>
        </w:numPr>
        <w:autoSpaceDE w:val="0"/>
        <w:autoSpaceDN w:val="0"/>
        <w:adjustRightInd w:val="0"/>
        <w:spacing w:after="0" w:line="240" w:lineRule="auto"/>
        <w:rPr>
          <w:rFonts w:ascii="Calibri" w:hAnsi="Calibri" w:cs="Calibri"/>
        </w:rPr>
      </w:pPr>
      <w:r w:rsidRPr="00564FCB">
        <w:rPr>
          <w:rFonts w:ascii="Calibri" w:hAnsi="Calibri" w:cs="Calibri"/>
        </w:rPr>
        <w:t>Calculez le taux de variation en pourcentage de la part des femmes parmi les emplois de cadres et professions intellectuelles supérieures entre 1982 et 2017.</w:t>
      </w:r>
    </w:p>
    <w:p w:rsidR="00564FCB" w:rsidRPr="00564FCB" w:rsidRDefault="00564FCB" w:rsidP="00564FCB">
      <w:pPr>
        <w:pStyle w:val="Paragraphedeliste"/>
        <w:widowControl w:val="0"/>
        <w:numPr>
          <w:ilvl w:val="0"/>
          <w:numId w:val="11"/>
        </w:numPr>
        <w:autoSpaceDE w:val="0"/>
        <w:autoSpaceDN w:val="0"/>
        <w:adjustRightInd w:val="0"/>
        <w:spacing w:after="0" w:line="240" w:lineRule="auto"/>
        <w:rPr>
          <w:rFonts w:ascii="Calibri" w:hAnsi="Calibri" w:cs="Calibri"/>
        </w:rPr>
      </w:pPr>
      <w:r w:rsidRPr="00564FCB">
        <w:rPr>
          <w:rFonts w:ascii="Calibri" w:hAnsi="Calibri" w:cs="Calibri"/>
        </w:rPr>
        <w:t>Quelles sont les types de professions les plus féminisées ? Les plus masculinisées ?</w:t>
      </w:r>
    </w:p>
    <w:p w:rsidR="00564FCB" w:rsidRPr="00564FCB" w:rsidRDefault="00564FCB" w:rsidP="00564FCB">
      <w:pPr>
        <w:pStyle w:val="Paragraphedeliste"/>
        <w:widowControl w:val="0"/>
        <w:numPr>
          <w:ilvl w:val="0"/>
          <w:numId w:val="11"/>
        </w:numPr>
        <w:autoSpaceDE w:val="0"/>
        <w:autoSpaceDN w:val="0"/>
        <w:adjustRightInd w:val="0"/>
        <w:spacing w:after="0" w:line="240" w:lineRule="auto"/>
        <w:rPr>
          <w:rFonts w:ascii="Calibri" w:hAnsi="Calibri" w:cs="Calibri"/>
        </w:rPr>
      </w:pPr>
      <w:r w:rsidRPr="00564FCB">
        <w:rPr>
          <w:rFonts w:ascii="Calibri" w:hAnsi="Calibri" w:cs="Calibri"/>
        </w:rPr>
        <w:t>Se rapproche-t-on de la parité Hommes-Femmes dans les emplois occupés ?</w:t>
      </w:r>
    </w:p>
    <w:p w:rsidR="000B5854" w:rsidRDefault="000B5854" w:rsidP="000B5854">
      <w:pPr>
        <w:jc w:val="left"/>
        <w:rPr>
          <w:rFonts w:ascii="Calibri Light" w:hAnsi="Calibri Light"/>
          <w:b/>
          <w:noProof/>
          <w:color w:val="000000" w:themeColor="text1"/>
          <w:sz w:val="24"/>
          <w:szCs w:val="24"/>
          <w:lang w:eastAsia="fr-FR"/>
        </w:rPr>
      </w:pPr>
      <w:r>
        <w:br w:type="page"/>
      </w:r>
    </w:p>
    <w:p w:rsidR="000B5854" w:rsidRPr="00942073" w:rsidRDefault="000B5854" w:rsidP="000B5854">
      <w:pPr>
        <w:pStyle w:val="Sansinterligne"/>
      </w:pPr>
      <w:r w:rsidRPr="00942073">
        <w:lastRenderedPageBreak/>
        <w:t>Document</w:t>
      </w:r>
      <w:r>
        <w:t xml:space="preserve"> 3 –</w:t>
      </w:r>
      <w:r w:rsidRPr="00942073">
        <w:t xml:space="preserve"> </w:t>
      </w:r>
      <w:r w:rsidR="0062651A">
        <w:t>L’origine sociale des bacheliers</w:t>
      </w:r>
    </w:p>
    <w:p w:rsidR="000B5854" w:rsidRDefault="000B5854" w:rsidP="000B5854">
      <w:pPr>
        <w:pStyle w:val="Sansinterligne"/>
      </w:pPr>
    </w:p>
    <w:p w:rsidR="00564FCB" w:rsidRDefault="00564FCB" w:rsidP="00564FCB">
      <w:pPr>
        <w:pStyle w:val="NormalWeb"/>
        <w:spacing w:before="0" w:beforeAutospacing="0" w:after="0" w:afterAutospacing="0"/>
        <w:jc w:val="center"/>
      </w:pPr>
      <w:r>
        <w:rPr>
          <w:noProof/>
          <w:color w:val="000000"/>
        </w:rPr>
        <w:drawing>
          <wp:inline distT="0" distB="0" distL="0" distR="0">
            <wp:extent cx="5759450" cy="2674620"/>
            <wp:effectExtent l="0" t="0" r="0" b="0"/>
            <wp:docPr id="5" name="Image 4" descr="https://lh3.googleusercontent.com/qoXmQzJycpaxqjLSdFMNiC89KCUxyrUyB0zFMomRmlP_cYLtE64n3TzRLIML5_pnC4uPnaPjtS_j9n22uAyFxaSYYinr_FoZJIyWAiu3Wzl56dv_qnpyaqg3oT19UwyE7szKCx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oXmQzJycpaxqjLSdFMNiC89KCUxyrUyB0zFMomRmlP_cYLtE64n3TzRLIML5_pnC4uPnaPjtS_j9n22uAyFxaSYYinr_FoZJIyWAiu3Wzl56dv_qnpyaqg3oT19UwyE7szKCxvb"/>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9450" cy="2674620"/>
                    </a:xfrm>
                    <a:prstGeom prst="rect">
                      <a:avLst/>
                    </a:prstGeom>
                    <a:noFill/>
                    <a:ln>
                      <a:noFill/>
                    </a:ln>
                  </pic:spPr>
                </pic:pic>
              </a:graphicData>
            </a:graphic>
          </wp:inline>
        </w:drawing>
      </w:r>
    </w:p>
    <w:p w:rsidR="00564FCB" w:rsidRDefault="00564FCB" w:rsidP="00564FCB"/>
    <w:p w:rsidR="00564FCB" w:rsidRPr="00564FCB" w:rsidRDefault="00564FCB" w:rsidP="00564FCB">
      <w:pPr>
        <w:pStyle w:val="NormalWeb"/>
        <w:spacing w:before="0" w:beforeAutospacing="0" w:after="0" w:afterAutospacing="0"/>
        <w:jc w:val="right"/>
        <w:rPr>
          <w:rFonts w:ascii="Calibri" w:hAnsi="Calibri" w:cs="Calibri"/>
          <w:b/>
          <w:i/>
          <w:sz w:val="20"/>
          <w:szCs w:val="20"/>
        </w:rPr>
      </w:pPr>
      <w:r w:rsidRPr="00564FCB">
        <w:rPr>
          <w:rFonts w:ascii="Calibri" w:hAnsi="Calibri" w:cs="Calibri"/>
          <w:b/>
          <w:i/>
          <w:color w:val="000000"/>
          <w:sz w:val="20"/>
          <w:szCs w:val="20"/>
        </w:rPr>
        <w:t xml:space="preserve">Ministère de l’Éducation Nationale - </w:t>
      </w:r>
      <w:hyperlink r:id="rId14" w:anchor="Tableaux%20de%20donn%C3%A9es%20et%20graphiques" w:history="1">
        <w:r w:rsidRPr="00564FCB">
          <w:rPr>
            <w:rStyle w:val="Lienhypertexte"/>
            <w:rFonts w:ascii="Calibri" w:hAnsi="Calibri" w:cs="Calibri"/>
            <w:b/>
            <w:i/>
            <w:color w:val="1155CC"/>
            <w:sz w:val="20"/>
            <w:szCs w:val="20"/>
          </w:rPr>
          <w:t>L’état de l’école 2017</w:t>
        </w:r>
      </w:hyperlink>
      <w:r w:rsidRPr="00564FCB">
        <w:rPr>
          <w:rFonts w:ascii="Calibri" w:hAnsi="Calibri" w:cs="Calibri"/>
          <w:b/>
          <w:i/>
          <w:color w:val="000000"/>
          <w:sz w:val="20"/>
          <w:szCs w:val="20"/>
        </w:rPr>
        <w:t xml:space="preserve"> - Janvier 2018 (</w:t>
      </w:r>
      <w:hyperlink r:id="rId15" w:history="1">
        <w:r w:rsidRPr="00564FCB">
          <w:rPr>
            <w:rStyle w:val="Lienhypertexte"/>
            <w:rFonts w:ascii="Calibri" w:hAnsi="Calibri" w:cs="Calibri"/>
            <w:b/>
            <w:i/>
            <w:color w:val="1155CC"/>
            <w:sz w:val="20"/>
            <w:szCs w:val="20"/>
          </w:rPr>
          <w:t>page 7</w:t>
        </w:r>
      </w:hyperlink>
      <w:r w:rsidRPr="00564FCB">
        <w:rPr>
          <w:rFonts w:ascii="Calibri" w:hAnsi="Calibri" w:cs="Calibri"/>
          <w:b/>
          <w:i/>
          <w:color w:val="000000"/>
          <w:sz w:val="20"/>
          <w:szCs w:val="20"/>
        </w:rPr>
        <w:t>7)</w:t>
      </w:r>
    </w:p>
    <w:p w:rsidR="00564FCB" w:rsidRPr="0091135F" w:rsidRDefault="00564FCB" w:rsidP="00564FCB">
      <w:pPr>
        <w:jc w:val="left"/>
      </w:pPr>
    </w:p>
    <w:p w:rsidR="00564FCB" w:rsidRPr="00564FCB" w:rsidRDefault="00564FCB" w:rsidP="00564FCB">
      <w:pPr>
        <w:pStyle w:val="Paragraphedeliste"/>
        <w:widowControl w:val="0"/>
        <w:numPr>
          <w:ilvl w:val="0"/>
          <w:numId w:val="12"/>
        </w:numPr>
        <w:autoSpaceDE w:val="0"/>
        <w:autoSpaceDN w:val="0"/>
        <w:adjustRightInd w:val="0"/>
        <w:spacing w:after="0" w:line="240" w:lineRule="auto"/>
        <w:rPr>
          <w:rFonts w:ascii="Calibri" w:hAnsi="Calibri" w:cs="Calibri"/>
        </w:rPr>
      </w:pPr>
      <w:r w:rsidRPr="00564FCB">
        <w:rPr>
          <w:rFonts w:ascii="Calibri" w:hAnsi="Calibri" w:cs="Calibri"/>
        </w:rPr>
        <w:t>Proposez une mesure des inégalités dans l’obtention du baccalauréat selon le milieu social parmi les jeunes nés entre 1970 et 1974. Faites la même chose pour la génération née entre 1990 et 1994.</w:t>
      </w:r>
    </w:p>
    <w:p w:rsidR="00564FCB" w:rsidRPr="00564FCB" w:rsidRDefault="00564FCB" w:rsidP="00564FCB">
      <w:pPr>
        <w:pStyle w:val="Paragraphedeliste"/>
        <w:widowControl w:val="0"/>
        <w:numPr>
          <w:ilvl w:val="0"/>
          <w:numId w:val="12"/>
        </w:numPr>
        <w:autoSpaceDE w:val="0"/>
        <w:autoSpaceDN w:val="0"/>
        <w:adjustRightInd w:val="0"/>
        <w:spacing w:after="0" w:line="240" w:lineRule="auto"/>
        <w:rPr>
          <w:rFonts w:ascii="Calibri" w:hAnsi="Calibri" w:cs="Calibri"/>
        </w:rPr>
      </w:pPr>
      <w:r w:rsidRPr="00564FCB">
        <w:rPr>
          <w:rFonts w:ascii="Calibri" w:hAnsi="Calibri" w:cs="Calibri"/>
        </w:rPr>
        <w:t>Que pouvez-vous conclure de vos résultats ?</w:t>
      </w:r>
    </w:p>
    <w:p w:rsidR="00564FCB" w:rsidRPr="00564FCB" w:rsidRDefault="00564FCB" w:rsidP="00564FCB">
      <w:pPr>
        <w:pStyle w:val="Paragraphedeliste"/>
        <w:widowControl w:val="0"/>
        <w:numPr>
          <w:ilvl w:val="0"/>
          <w:numId w:val="12"/>
        </w:numPr>
        <w:autoSpaceDE w:val="0"/>
        <w:autoSpaceDN w:val="0"/>
        <w:adjustRightInd w:val="0"/>
        <w:spacing w:after="0" w:line="240" w:lineRule="auto"/>
        <w:rPr>
          <w:rFonts w:ascii="Calibri" w:hAnsi="Calibri" w:cs="Calibri"/>
        </w:rPr>
      </w:pPr>
      <w:r w:rsidRPr="00564FCB">
        <w:rPr>
          <w:rFonts w:ascii="Calibri" w:hAnsi="Calibri" w:cs="Calibri"/>
        </w:rPr>
        <w:t>Pouvez-vous établir une relation entre le type de baccalauréat obtenu en 2016 et l’origine sociale des bacheliers ?</w:t>
      </w:r>
    </w:p>
    <w:p w:rsidR="00564FCB" w:rsidRPr="00564FCB" w:rsidRDefault="00564FCB" w:rsidP="00564FCB">
      <w:pPr>
        <w:pStyle w:val="Paragraphedeliste"/>
        <w:widowControl w:val="0"/>
        <w:numPr>
          <w:ilvl w:val="0"/>
          <w:numId w:val="12"/>
        </w:numPr>
        <w:autoSpaceDE w:val="0"/>
        <w:autoSpaceDN w:val="0"/>
        <w:adjustRightInd w:val="0"/>
        <w:spacing w:after="0" w:line="240" w:lineRule="auto"/>
        <w:rPr>
          <w:rFonts w:ascii="Calibri" w:hAnsi="Calibri" w:cs="Calibri"/>
        </w:rPr>
      </w:pPr>
      <w:r w:rsidRPr="00564FCB">
        <w:rPr>
          <w:rFonts w:ascii="Calibri" w:hAnsi="Calibri" w:cs="Calibri"/>
        </w:rPr>
        <w:t>En quoi le graphique et le tableau se complètent-ils ?</w:t>
      </w:r>
    </w:p>
    <w:p w:rsidR="000B5854" w:rsidRPr="008B4B78" w:rsidRDefault="000B5854" w:rsidP="000B5854"/>
    <w:p w:rsidR="000B5854" w:rsidRDefault="000B5854" w:rsidP="000B5854">
      <w:pPr>
        <w:pStyle w:val="Sansinterligne"/>
      </w:pPr>
    </w:p>
    <w:p w:rsidR="000B5854" w:rsidRDefault="000B5854" w:rsidP="000B5854">
      <w:pPr>
        <w:jc w:val="left"/>
        <w:rPr>
          <w:rFonts w:ascii="Calibri Light" w:hAnsi="Calibri Light"/>
          <w:b/>
          <w:noProof/>
          <w:color w:val="000000" w:themeColor="text1"/>
          <w:sz w:val="24"/>
          <w:szCs w:val="24"/>
          <w:lang w:eastAsia="fr-FR"/>
        </w:rPr>
      </w:pPr>
      <w:r>
        <w:br w:type="page"/>
      </w:r>
    </w:p>
    <w:p w:rsidR="000B5854" w:rsidRPr="00942073" w:rsidRDefault="000B5854" w:rsidP="000B5854">
      <w:pPr>
        <w:pStyle w:val="Sansinterligne"/>
      </w:pPr>
      <w:r w:rsidRPr="00942073">
        <w:lastRenderedPageBreak/>
        <w:t>Document</w:t>
      </w:r>
      <w:r>
        <w:t xml:space="preserve"> 4 –</w:t>
      </w:r>
      <w:r w:rsidRPr="00942073">
        <w:t xml:space="preserve"> </w:t>
      </w:r>
      <w:r w:rsidR="00D8094C">
        <w:rPr>
          <w:rFonts w:cs="Calibri Light"/>
        </w:rPr>
        <w:t>É</w:t>
      </w:r>
      <w:r w:rsidR="00D8094C">
        <w:t>galité des chances dans l’accès aux positions sociales ?</w:t>
      </w:r>
    </w:p>
    <w:p w:rsidR="000B5854" w:rsidRDefault="000B5854" w:rsidP="000B5854">
      <w:pPr>
        <w:pStyle w:val="Sansinterligne"/>
      </w:pPr>
    </w:p>
    <w:p w:rsidR="00D8094C" w:rsidRDefault="00D8094C" w:rsidP="00D8094C">
      <w:pPr>
        <w:jc w:val="center"/>
      </w:pPr>
      <w:r>
        <w:rPr>
          <w:b/>
          <w:bCs/>
        </w:rPr>
        <w:t>Table de destinée sociale - 2017</w:t>
      </w:r>
    </w:p>
    <w:tbl>
      <w:tblPr>
        <w:tblW w:w="9225"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1"/>
        <w:gridCol w:w="1120"/>
        <w:gridCol w:w="1093"/>
        <w:gridCol w:w="1093"/>
        <w:gridCol w:w="1094"/>
        <w:gridCol w:w="1093"/>
        <w:gridCol w:w="1094"/>
        <w:gridCol w:w="1093"/>
        <w:gridCol w:w="1094"/>
      </w:tblGrid>
      <w:tr w:rsidR="00D8094C" w:rsidRPr="000E65D3" w:rsidTr="00D8094C">
        <w:trPr>
          <w:trHeight w:val="300"/>
          <w:jc w:val="center"/>
        </w:trPr>
        <w:tc>
          <w:tcPr>
            <w:tcW w:w="1571" w:type="dxa"/>
            <w:gridSpan w:val="2"/>
            <w:vMerge w:val="restart"/>
            <w:shd w:val="clear" w:color="auto" w:fill="auto"/>
            <w:vAlign w:val="center"/>
            <w:hideMark/>
          </w:tcPr>
          <w:p w:rsidR="00D8094C" w:rsidRPr="000E65D3" w:rsidRDefault="00D8094C" w:rsidP="00D8094C">
            <w:pPr>
              <w:spacing w:after="0" w:line="240" w:lineRule="auto"/>
              <w:jc w:val="center"/>
              <w:rPr>
                <w:b/>
                <w:bCs/>
                <w:color w:val="000000"/>
                <w:sz w:val="16"/>
                <w:szCs w:val="16"/>
              </w:rPr>
            </w:pPr>
            <w:r>
              <w:rPr>
                <w:b/>
                <w:bCs/>
                <w:color w:val="000000"/>
                <w:sz w:val="16"/>
                <w:szCs w:val="16"/>
              </w:rPr>
              <w:t>%</w:t>
            </w:r>
          </w:p>
        </w:tc>
        <w:tc>
          <w:tcPr>
            <w:tcW w:w="7654" w:type="dxa"/>
            <w:gridSpan w:val="7"/>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PÈRE</w:t>
            </w:r>
          </w:p>
        </w:tc>
      </w:tr>
      <w:tr w:rsidR="00D8094C" w:rsidRPr="000E65D3" w:rsidTr="00D8094C">
        <w:trPr>
          <w:trHeight w:val="543"/>
          <w:jc w:val="center"/>
        </w:trPr>
        <w:tc>
          <w:tcPr>
            <w:tcW w:w="1571" w:type="dxa"/>
            <w:gridSpan w:val="2"/>
            <w:vMerge/>
            <w:vAlign w:val="center"/>
            <w:hideMark/>
          </w:tcPr>
          <w:p w:rsidR="00D8094C" w:rsidRPr="000E65D3" w:rsidRDefault="00D8094C" w:rsidP="00D8094C">
            <w:pPr>
              <w:spacing w:after="0" w:line="240" w:lineRule="auto"/>
              <w:jc w:val="center"/>
              <w:rPr>
                <w:b/>
                <w:bCs/>
                <w:color w:val="000000"/>
                <w:sz w:val="16"/>
                <w:szCs w:val="16"/>
              </w:rPr>
            </w:pPr>
          </w:p>
        </w:tc>
        <w:tc>
          <w:tcPr>
            <w:tcW w:w="1093" w:type="dxa"/>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Agriculteur</w:t>
            </w:r>
          </w:p>
        </w:tc>
        <w:tc>
          <w:tcPr>
            <w:tcW w:w="1093" w:type="dxa"/>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ACCE (1)</w:t>
            </w:r>
          </w:p>
        </w:tc>
        <w:tc>
          <w:tcPr>
            <w:tcW w:w="1094" w:type="dxa"/>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Cadre</w:t>
            </w:r>
          </w:p>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et PIS (2)</w:t>
            </w:r>
          </w:p>
        </w:tc>
        <w:tc>
          <w:tcPr>
            <w:tcW w:w="1093" w:type="dxa"/>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Profession</w:t>
            </w:r>
          </w:p>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intermédiaire</w:t>
            </w:r>
          </w:p>
        </w:tc>
        <w:tc>
          <w:tcPr>
            <w:tcW w:w="1094" w:type="dxa"/>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Employé</w:t>
            </w:r>
          </w:p>
        </w:tc>
        <w:tc>
          <w:tcPr>
            <w:tcW w:w="1093" w:type="dxa"/>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Ouvrier</w:t>
            </w:r>
          </w:p>
        </w:tc>
        <w:tc>
          <w:tcPr>
            <w:tcW w:w="1094" w:type="dxa"/>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Ensemble</w:t>
            </w:r>
          </w:p>
        </w:tc>
      </w:tr>
      <w:tr w:rsidR="00D8094C" w:rsidRPr="000E65D3" w:rsidTr="00D8094C">
        <w:trPr>
          <w:trHeight w:val="300"/>
          <w:jc w:val="center"/>
        </w:trPr>
        <w:tc>
          <w:tcPr>
            <w:tcW w:w="451" w:type="dxa"/>
            <w:vMerge w:val="restart"/>
            <w:shd w:val="clear" w:color="auto" w:fill="auto"/>
            <w:textDirection w:val="btLr"/>
            <w:vAlign w:val="center"/>
            <w:hideMark/>
          </w:tcPr>
          <w:p w:rsidR="00D8094C" w:rsidRPr="000E65D3" w:rsidRDefault="00D8094C" w:rsidP="00D8094C">
            <w:pPr>
              <w:spacing w:after="0" w:line="240" w:lineRule="auto"/>
              <w:ind w:left="113" w:right="113"/>
              <w:jc w:val="center"/>
              <w:rPr>
                <w:b/>
                <w:bCs/>
                <w:color w:val="000000"/>
                <w:sz w:val="16"/>
                <w:szCs w:val="16"/>
              </w:rPr>
            </w:pPr>
            <w:r w:rsidRPr="000E65D3">
              <w:rPr>
                <w:b/>
                <w:bCs/>
                <w:color w:val="000000"/>
                <w:sz w:val="16"/>
                <w:szCs w:val="16"/>
              </w:rPr>
              <w:t>FILS</w:t>
            </w:r>
          </w:p>
        </w:tc>
        <w:tc>
          <w:tcPr>
            <w:tcW w:w="1120" w:type="dxa"/>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Agriculteur</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25,2</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0,6</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0,5</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0,5</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0,5</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0,6</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2,9</w:t>
            </w:r>
          </w:p>
        </w:tc>
      </w:tr>
      <w:tr w:rsidR="00D8094C" w:rsidRPr="000E65D3" w:rsidTr="00D8094C">
        <w:trPr>
          <w:trHeight w:val="300"/>
          <w:jc w:val="center"/>
        </w:trPr>
        <w:tc>
          <w:tcPr>
            <w:tcW w:w="451" w:type="dxa"/>
            <w:vMerge/>
            <w:vAlign w:val="center"/>
            <w:hideMark/>
          </w:tcPr>
          <w:p w:rsidR="00D8094C" w:rsidRPr="000E65D3" w:rsidRDefault="00D8094C" w:rsidP="00D8094C">
            <w:pPr>
              <w:spacing w:after="0" w:line="240" w:lineRule="auto"/>
              <w:jc w:val="center"/>
              <w:rPr>
                <w:b/>
                <w:bCs/>
                <w:color w:val="000000"/>
                <w:sz w:val="16"/>
                <w:szCs w:val="16"/>
              </w:rPr>
            </w:pPr>
          </w:p>
        </w:tc>
        <w:tc>
          <w:tcPr>
            <w:tcW w:w="1120" w:type="dxa"/>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ACCE (1)</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7,5</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21,2</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10,6</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8,2</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7,5</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8,7</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10,3</w:t>
            </w:r>
          </w:p>
        </w:tc>
      </w:tr>
      <w:tr w:rsidR="00D8094C" w:rsidRPr="000E65D3" w:rsidTr="00D8094C">
        <w:trPr>
          <w:trHeight w:val="361"/>
          <w:jc w:val="center"/>
        </w:trPr>
        <w:tc>
          <w:tcPr>
            <w:tcW w:w="451" w:type="dxa"/>
            <w:vMerge/>
            <w:vAlign w:val="center"/>
            <w:hideMark/>
          </w:tcPr>
          <w:p w:rsidR="00D8094C" w:rsidRPr="000E65D3" w:rsidRDefault="00D8094C" w:rsidP="00D8094C">
            <w:pPr>
              <w:spacing w:after="0" w:line="240" w:lineRule="auto"/>
              <w:jc w:val="center"/>
              <w:rPr>
                <w:b/>
                <w:bCs/>
                <w:color w:val="000000"/>
                <w:sz w:val="16"/>
                <w:szCs w:val="16"/>
              </w:rPr>
            </w:pPr>
          </w:p>
        </w:tc>
        <w:tc>
          <w:tcPr>
            <w:tcW w:w="1120" w:type="dxa"/>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Cadre et PIS(2)</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10,7</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23,7</w:t>
            </w:r>
          </w:p>
        </w:tc>
        <w:tc>
          <w:tcPr>
            <w:tcW w:w="1094" w:type="dxa"/>
            <w:shd w:val="clear" w:color="auto" w:fill="auto"/>
            <w:vAlign w:val="center"/>
            <w:hideMark/>
          </w:tcPr>
          <w:p w:rsidR="00D8094C" w:rsidRPr="000F7633" w:rsidRDefault="00D8094C" w:rsidP="00D8094C">
            <w:pPr>
              <w:spacing w:after="0" w:line="240" w:lineRule="auto"/>
              <w:jc w:val="center"/>
              <w:rPr>
                <w:b/>
                <w:szCs w:val="20"/>
                <w:u w:val="single"/>
              </w:rPr>
            </w:pPr>
            <w:r w:rsidRPr="000F7633">
              <w:rPr>
                <w:b/>
                <w:szCs w:val="20"/>
                <w:u w:val="single"/>
              </w:rPr>
              <w:t>49,1</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29,8</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21,7</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11,5</w:t>
            </w:r>
          </w:p>
        </w:tc>
        <w:tc>
          <w:tcPr>
            <w:tcW w:w="1094" w:type="dxa"/>
            <w:shd w:val="clear" w:color="auto" w:fill="auto"/>
            <w:vAlign w:val="center"/>
            <w:hideMark/>
          </w:tcPr>
          <w:p w:rsidR="00D8094C" w:rsidRPr="000F7633" w:rsidRDefault="00D8094C" w:rsidP="00D8094C">
            <w:pPr>
              <w:spacing w:after="0" w:line="240" w:lineRule="auto"/>
              <w:jc w:val="center"/>
              <w:rPr>
                <w:b/>
                <w:szCs w:val="20"/>
                <w:u w:val="single"/>
              </w:rPr>
            </w:pPr>
            <w:r w:rsidRPr="000F7633">
              <w:rPr>
                <w:b/>
                <w:szCs w:val="20"/>
                <w:u w:val="single"/>
              </w:rPr>
              <w:t>21,8</w:t>
            </w:r>
          </w:p>
        </w:tc>
      </w:tr>
      <w:tr w:rsidR="00D8094C" w:rsidRPr="000E65D3" w:rsidTr="00D8094C">
        <w:trPr>
          <w:trHeight w:val="327"/>
          <w:jc w:val="center"/>
        </w:trPr>
        <w:tc>
          <w:tcPr>
            <w:tcW w:w="451" w:type="dxa"/>
            <w:vMerge/>
            <w:vAlign w:val="center"/>
            <w:hideMark/>
          </w:tcPr>
          <w:p w:rsidR="00D8094C" w:rsidRPr="000E65D3" w:rsidRDefault="00D8094C" w:rsidP="00D8094C">
            <w:pPr>
              <w:spacing w:after="0" w:line="240" w:lineRule="auto"/>
              <w:jc w:val="center"/>
              <w:rPr>
                <w:b/>
                <w:bCs/>
                <w:color w:val="000000"/>
                <w:sz w:val="16"/>
                <w:szCs w:val="16"/>
              </w:rPr>
            </w:pPr>
          </w:p>
        </w:tc>
        <w:tc>
          <w:tcPr>
            <w:tcW w:w="1120" w:type="dxa"/>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Profession intermédiaire</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15,3</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22,3</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23,5</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31,0</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27,3</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22,3</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23,6</w:t>
            </w:r>
          </w:p>
        </w:tc>
      </w:tr>
      <w:tr w:rsidR="00D8094C" w:rsidRPr="000E65D3" w:rsidTr="00D8094C">
        <w:trPr>
          <w:trHeight w:val="300"/>
          <w:jc w:val="center"/>
        </w:trPr>
        <w:tc>
          <w:tcPr>
            <w:tcW w:w="451" w:type="dxa"/>
            <w:vMerge/>
            <w:vAlign w:val="center"/>
            <w:hideMark/>
          </w:tcPr>
          <w:p w:rsidR="00D8094C" w:rsidRPr="000E65D3" w:rsidRDefault="00D8094C" w:rsidP="00D8094C">
            <w:pPr>
              <w:spacing w:after="0" w:line="240" w:lineRule="auto"/>
              <w:jc w:val="center"/>
              <w:rPr>
                <w:b/>
                <w:bCs/>
                <w:color w:val="000000"/>
                <w:sz w:val="16"/>
                <w:szCs w:val="16"/>
              </w:rPr>
            </w:pPr>
          </w:p>
        </w:tc>
        <w:tc>
          <w:tcPr>
            <w:tcW w:w="1120" w:type="dxa"/>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Employé</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7,4</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9,5</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7,9</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12,3</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15,9</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11,5</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10,9</w:t>
            </w:r>
          </w:p>
        </w:tc>
      </w:tr>
      <w:tr w:rsidR="00D8094C" w:rsidRPr="000E65D3" w:rsidTr="00D8094C">
        <w:trPr>
          <w:trHeight w:val="300"/>
          <w:jc w:val="center"/>
        </w:trPr>
        <w:tc>
          <w:tcPr>
            <w:tcW w:w="451" w:type="dxa"/>
            <w:vMerge/>
            <w:vAlign w:val="center"/>
            <w:hideMark/>
          </w:tcPr>
          <w:p w:rsidR="00D8094C" w:rsidRPr="000E65D3" w:rsidRDefault="00D8094C" w:rsidP="00D8094C">
            <w:pPr>
              <w:spacing w:after="0" w:line="240" w:lineRule="auto"/>
              <w:jc w:val="center"/>
              <w:rPr>
                <w:b/>
                <w:bCs/>
                <w:color w:val="000000"/>
                <w:sz w:val="16"/>
                <w:szCs w:val="16"/>
              </w:rPr>
            </w:pPr>
          </w:p>
        </w:tc>
        <w:tc>
          <w:tcPr>
            <w:tcW w:w="1120" w:type="dxa"/>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Ouvrier</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34,0</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22,7</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8,5</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18,3</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27,2</w:t>
            </w:r>
          </w:p>
        </w:tc>
        <w:tc>
          <w:tcPr>
            <w:tcW w:w="1093" w:type="dxa"/>
            <w:shd w:val="clear" w:color="auto" w:fill="auto"/>
            <w:vAlign w:val="center"/>
            <w:hideMark/>
          </w:tcPr>
          <w:p w:rsidR="00D8094C" w:rsidRDefault="00D8094C" w:rsidP="00D8094C">
            <w:pPr>
              <w:spacing w:after="0" w:line="240" w:lineRule="auto"/>
              <w:jc w:val="center"/>
              <w:rPr>
                <w:szCs w:val="20"/>
              </w:rPr>
            </w:pPr>
            <w:r>
              <w:rPr>
                <w:szCs w:val="20"/>
              </w:rPr>
              <w:t>45,4</w:t>
            </w:r>
          </w:p>
        </w:tc>
        <w:tc>
          <w:tcPr>
            <w:tcW w:w="1094" w:type="dxa"/>
            <w:shd w:val="clear" w:color="auto" w:fill="auto"/>
            <w:vAlign w:val="center"/>
            <w:hideMark/>
          </w:tcPr>
          <w:p w:rsidR="00D8094C" w:rsidRDefault="00D8094C" w:rsidP="00D8094C">
            <w:pPr>
              <w:spacing w:after="0" w:line="240" w:lineRule="auto"/>
              <w:jc w:val="center"/>
              <w:rPr>
                <w:szCs w:val="20"/>
              </w:rPr>
            </w:pPr>
            <w:r>
              <w:rPr>
                <w:szCs w:val="20"/>
              </w:rPr>
              <w:t>30,5</w:t>
            </w:r>
          </w:p>
        </w:tc>
      </w:tr>
      <w:tr w:rsidR="00D8094C" w:rsidRPr="000E65D3" w:rsidTr="00D8094C">
        <w:trPr>
          <w:trHeight w:val="300"/>
          <w:jc w:val="center"/>
        </w:trPr>
        <w:tc>
          <w:tcPr>
            <w:tcW w:w="451" w:type="dxa"/>
            <w:vMerge/>
            <w:vAlign w:val="center"/>
            <w:hideMark/>
          </w:tcPr>
          <w:p w:rsidR="00D8094C" w:rsidRPr="000E65D3" w:rsidRDefault="00D8094C" w:rsidP="00D8094C">
            <w:pPr>
              <w:spacing w:after="0" w:line="240" w:lineRule="auto"/>
              <w:jc w:val="center"/>
              <w:rPr>
                <w:b/>
                <w:bCs/>
                <w:color w:val="000000"/>
                <w:sz w:val="16"/>
                <w:szCs w:val="16"/>
              </w:rPr>
            </w:pPr>
          </w:p>
        </w:tc>
        <w:tc>
          <w:tcPr>
            <w:tcW w:w="1120" w:type="dxa"/>
            <w:shd w:val="clear" w:color="auto" w:fill="auto"/>
            <w:vAlign w:val="center"/>
            <w:hideMark/>
          </w:tcPr>
          <w:p w:rsidR="00D8094C" w:rsidRPr="000E65D3" w:rsidRDefault="00D8094C" w:rsidP="00D8094C">
            <w:pPr>
              <w:spacing w:after="0" w:line="240" w:lineRule="auto"/>
              <w:jc w:val="center"/>
              <w:rPr>
                <w:b/>
                <w:bCs/>
                <w:color w:val="000000"/>
                <w:sz w:val="16"/>
                <w:szCs w:val="16"/>
              </w:rPr>
            </w:pPr>
            <w:r w:rsidRPr="000E65D3">
              <w:rPr>
                <w:b/>
                <w:bCs/>
                <w:color w:val="000000"/>
                <w:sz w:val="16"/>
                <w:szCs w:val="16"/>
              </w:rPr>
              <w:t>Ensemble</w:t>
            </w:r>
          </w:p>
        </w:tc>
        <w:tc>
          <w:tcPr>
            <w:tcW w:w="1093" w:type="dxa"/>
            <w:shd w:val="clear" w:color="auto" w:fill="auto"/>
            <w:vAlign w:val="center"/>
            <w:hideMark/>
          </w:tcPr>
          <w:p w:rsidR="00D8094C" w:rsidRPr="00682D81" w:rsidRDefault="00D8094C" w:rsidP="00D8094C">
            <w:pPr>
              <w:spacing w:after="0" w:line="240" w:lineRule="auto"/>
              <w:jc w:val="center"/>
              <w:rPr>
                <w:color w:val="000000"/>
                <w:szCs w:val="20"/>
              </w:rPr>
            </w:pPr>
            <w:r w:rsidRPr="00682D81">
              <w:rPr>
                <w:color w:val="000000"/>
                <w:szCs w:val="20"/>
              </w:rPr>
              <w:t>100</w:t>
            </w:r>
          </w:p>
        </w:tc>
        <w:tc>
          <w:tcPr>
            <w:tcW w:w="1093" w:type="dxa"/>
            <w:shd w:val="clear" w:color="auto" w:fill="auto"/>
            <w:vAlign w:val="center"/>
            <w:hideMark/>
          </w:tcPr>
          <w:p w:rsidR="00D8094C" w:rsidRPr="00682D81" w:rsidRDefault="00D8094C" w:rsidP="00D8094C">
            <w:pPr>
              <w:spacing w:after="0" w:line="240" w:lineRule="auto"/>
              <w:jc w:val="center"/>
              <w:rPr>
                <w:color w:val="000000"/>
                <w:szCs w:val="20"/>
              </w:rPr>
            </w:pPr>
            <w:r w:rsidRPr="00682D81">
              <w:rPr>
                <w:color w:val="000000"/>
                <w:szCs w:val="20"/>
              </w:rPr>
              <w:t>100</w:t>
            </w:r>
          </w:p>
        </w:tc>
        <w:tc>
          <w:tcPr>
            <w:tcW w:w="1094" w:type="dxa"/>
            <w:shd w:val="clear" w:color="auto" w:fill="auto"/>
            <w:vAlign w:val="center"/>
            <w:hideMark/>
          </w:tcPr>
          <w:p w:rsidR="00D8094C" w:rsidRPr="00682D81" w:rsidRDefault="00D8094C" w:rsidP="00D8094C">
            <w:pPr>
              <w:spacing w:after="0" w:line="240" w:lineRule="auto"/>
              <w:jc w:val="center"/>
              <w:rPr>
                <w:color w:val="000000"/>
                <w:szCs w:val="20"/>
              </w:rPr>
            </w:pPr>
            <w:r w:rsidRPr="00682D81">
              <w:rPr>
                <w:color w:val="000000"/>
                <w:szCs w:val="20"/>
              </w:rPr>
              <w:t>100</w:t>
            </w:r>
          </w:p>
        </w:tc>
        <w:tc>
          <w:tcPr>
            <w:tcW w:w="1093" w:type="dxa"/>
            <w:shd w:val="clear" w:color="auto" w:fill="auto"/>
            <w:vAlign w:val="center"/>
            <w:hideMark/>
          </w:tcPr>
          <w:p w:rsidR="00D8094C" w:rsidRPr="00682D81" w:rsidRDefault="00D8094C" w:rsidP="00D8094C">
            <w:pPr>
              <w:spacing w:after="0" w:line="240" w:lineRule="auto"/>
              <w:jc w:val="center"/>
              <w:rPr>
                <w:color w:val="000000"/>
                <w:szCs w:val="20"/>
              </w:rPr>
            </w:pPr>
            <w:r w:rsidRPr="00682D81">
              <w:rPr>
                <w:color w:val="000000"/>
                <w:szCs w:val="20"/>
              </w:rPr>
              <w:t>100</w:t>
            </w:r>
          </w:p>
        </w:tc>
        <w:tc>
          <w:tcPr>
            <w:tcW w:w="1094" w:type="dxa"/>
            <w:shd w:val="clear" w:color="auto" w:fill="auto"/>
            <w:vAlign w:val="center"/>
            <w:hideMark/>
          </w:tcPr>
          <w:p w:rsidR="00D8094C" w:rsidRPr="00682D81" w:rsidRDefault="00D8094C" w:rsidP="00D8094C">
            <w:pPr>
              <w:spacing w:after="0" w:line="240" w:lineRule="auto"/>
              <w:jc w:val="center"/>
              <w:rPr>
                <w:color w:val="000000"/>
                <w:szCs w:val="20"/>
              </w:rPr>
            </w:pPr>
            <w:r w:rsidRPr="00682D81">
              <w:rPr>
                <w:color w:val="000000"/>
                <w:szCs w:val="20"/>
              </w:rPr>
              <w:t>100</w:t>
            </w:r>
          </w:p>
        </w:tc>
        <w:tc>
          <w:tcPr>
            <w:tcW w:w="1093" w:type="dxa"/>
            <w:shd w:val="clear" w:color="auto" w:fill="auto"/>
            <w:vAlign w:val="center"/>
            <w:hideMark/>
          </w:tcPr>
          <w:p w:rsidR="00D8094C" w:rsidRPr="00682D81" w:rsidRDefault="00D8094C" w:rsidP="00D8094C">
            <w:pPr>
              <w:spacing w:after="0" w:line="240" w:lineRule="auto"/>
              <w:jc w:val="center"/>
              <w:rPr>
                <w:color w:val="000000"/>
                <w:szCs w:val="20"/>
              </w:rPr>
            </w:pPr>
            <w:r w:rsidRPr="00682D81">
              <w:rPr>
                <w:color w:val="000000"/>
                <w:szCs w:val="20"/>
              </w:rPr>
              <w:t>100</w:t>
            </w:r>
          </w:p>
        </w:tc>
        <w:tc>
          <w:tcPr>
            <w:tcW w:w="1094" w:type="dxa"/>
            <w:shd w:val="clear" w:color="auto" w:fill="auto"/>
            <w:vAlign w:val="center"/>
            <w:hideMark/>
          </w:tcPr>
          <w:p w:rsidR="00D8094C" w:rsidRPr="00682D81" w:rsidRDefault="00D8094C" w:rsidP="00D8094C">
            <w:pPr>
              <w:spacing w:after="0" w:line="240" w:lineRule="auto"/>
              <w:jc w:val="center"/>
              <w:rPr>
                <w:color w:val="000000"/>
                <w:szCs w:val="20"/>
              </w:rPr>
            </w:pPr>
            <w:r w:rsidRPr="00682D81">
              <w:rPr>
                <w:color w:val="000000"/>
                <w:szCs w:val="20"/>
              </w:rPr>
              <w:t>100</w:t>
            </w:r>
          </w:p>
        </w:tc>
      </w:tr>
    </w:tbl>
    <w:p w:rsidR="00D8094C" w:rsidRDefault="00D8094C" w:rsidP="00D8094C">
      <w:pPr>
        <w:jc w:val="left"/>
      </w:pPr>
    </w:p>
    <w:p w:rsidR="00D8094C" w:rsidRDefault="00D8094C" w:rsidP="00D8094C">
      <w:pPr>
        <w:jc w:val="left"/>
      </w:pPr>
      <w:r>
        <w:t>(1) ACCE = artisan, commerçant, chef d’entreprise.</w:t>
      </w:r>
    </w:p>
    <w:p w:rsidR="00D8094C" w:rsidRDefault="00D8094C" w:rsidP="00D8094C">
      <w:pPr>
        <w:jc w:val="left"/>
      </w:pPr>
      <w:r>
        <w:t>(2) PIS = profession intellectuelle supérieure.</w:t>
      </w:r>
    </w:p>
    <w:p w:rsidR="00D8094C" w:rsidRDefault="00D8094C" w:rsidP="00D8094C">
      <w:pPr>
        <w:rPr>
          <w:bCs/>
        </w:rPr>
      </w:pPr>
      <w:r w:rsidRPr="0002040B">
        <w:rPr>
          <w:bCs/>
        </w:rPr>
        <w:t>Champ</w:t>
      </w:r>
      <w:r>
        <w:rPr>
          <w:bCs/>
        </w:rPr>
        <w:t> </w:t>
      </w:r>
      <w:r w:rsidRPr="0002040B">
        <w:rPr>
          <w:bCs/>
        </w:rPr>
        <w:t>: hommes actifs (sauf chômeurs n</w:t>
      </w:r>
      <w:r>
        <w:rPr>
          <w:bCs/>
        </w:rPr>
        <w:t>’</w:t>
      </w:r>
      <w:r w:rsidRPr="0002040B">
        <w:rPr>
          <w:bCs/>
        </w:rPr>
        <w:t>ayant jamais travaillé) de 40 à 59 ans en 201</w:t>
      </w:r>
      <w:r>
        <w:rPr>
          <w:bCs/>
        </w:rPr>
        <w:t>7</w:t>
      </w:r>
      <w:r w:rsidRPr="0002040B">
        <w:rPr>
          <w:bCs/>
        </w:rPr>
        <w:t xml:space="preserve"> dont le père avait une activité connue à la fin des études du fils.</w:t>
      </w:r>
    </w:p>
    <w:p w:rsidR="00D8094C" w:rsidRDefault="00D8094C" w:rsidP="00D8094C"/>
    <w:p w:rsidR="00D8094C" w:rsidRPr="00D8094C" w:rsidRDefault="00D8094C" w:rsidP="00D8094C">
      <w:pPr>
        <w:jc w:val="right"/>
        <w:rPr>
          <w:b/>
          <w:bCs/>
          <w:i/>
          <w:iCs/>
        </w:rPr>
      </w:pPr>
      <w:r w:rsidRPr="00D8094C">
        <w:rPr>
          <w:b/>
          <w:bCs/>
          <w:i/>
          <w:iCs/>
        </w:rPr>
        <w:t xml:space="preserve">Source : INSEE, </w:t>
      </w:r>
      <w:r w:rsidRPr="00D8094C">
        <w:rPr>
          <w:rStyle w:val="Lienhypertexte"/>
          <w:b/>
          <w:bCs/>
          <w:i/>
          <w:iCs/>
          <w:color w:val="auto"/>
        </w:rPr>
        <w:t>Enquête emploi en continu 2017</w:t>
      </w:r>
      <w:r w:rsidRPr="00D8094C">
        <w:rPr>
          <w:b/>
          <w:bCs/>
          <w:i/>
          <w:iCs/>
        </w:rPr>
        <w:t xml:space="preserve"> (Fichier détail – variables : CSPP, CSER, AG5, SEXE), novembre 2018.</w:t>
      </w:r>
    </w:p>
    <w:p w:rsidR="00D8094C" w:rsidRPr="00D8094C" w:rsidRDefault="00D8094C" w:rsidP="00D8094C">
      <w:pPr>
        <w:jc w:val="right"/>
        <w:rPr>
          <w:b/>
          <w:i/>
        </w:rPr>
      </w:pPr>
      <w:r w:rsidRPr="00D8094C">
        <w:rPr>
          <w:b/>
          <w:bCs/>
          <w:i/>
          <w:iCs/>
        </w:rPr>
        <w:t xml:space="preserve">Calculs : Bruno </w:t>
      </w:r>
      <w:proofErr w:type="spellStart"/>
      <w:r w:rsidRPr="00D8094C">
        <w:rPr>
          <w:b/>
          <w:bCs/>
          <w:i/>
          <w:iCs/>
        </w:rPr>
        <w:t>Déchamps</w:t>
      </w:r>
      <w:proofErr w:type="spellEnd"/>
      <w:r w:rsidRPr="00D8094C">
        <w:rPr>
          <w:b/>
          <w:bCs/>
          <w:i/>
          <w:iCs/>
        </w:rPr>
        <w:t>.</w:t>
      </w:r>
    </w:p>
    <w:p w:rsidR="00D8094C" w:rsidRDefault="00D8094C" w:rsidP="00D8094C"/>
    <w:p w:rsidR="00D8094C" w:rsidRDefault="00D8094C" w:rsidP="00D8094C">
      <w:r>
        <w:t xml:space="preserve">Ce tableau se lit en colonne : en 2017, 49,1% des hommes de 40 à 59 ans fils de cadres sont devenus cadres eux-mêmes. Il n’y avait que 21,8% de cadres dans la génération des fils. Il y a donc </w:t>
      </w:r>
      <w:proofErr w:type="spellStart"/>
      <w:r>
        <w:t>sur-représentation</w:t>
      </w:r>
      <w:proofErr w:type="spellEnd"/>
      <w:r>
        <w:t xml:space="preserve"> des fils de cadres parmi les hommes </w:t>
      </w:r>
      <w:proofErr w:type="gramStart"/>
      <w:r>
        <w:t>cadres</w:t>
      </w:r>
      <w:proofErr w:type="gramEnd"/>
      <w:r>
        <w:t xml:space="preserve"> en 2017. S’il y avait égalité des chances d’accès aux postes de cadres les fils de cadres ne devraient devenir cadres que dans 21,8% des cas et cette valeur serait la même quelle que soit la profession du père.</w:t>
      </w:r>
    </w:p>
    <w:p w:rsidR="00D8094C" w:rsidRDefault="00D8094C" w:rsidP="00D8094C"/>
    <w:p w:rsidR="00D8094C" w:rsidRDefault="00D8094C" w:rsidP="00D8094C"/>
    <w:p w:rsidR="00D8094C" w:rsidRPr="00D8094C" w:rsidRDefault="00D8094C" w:rsidP="00D8094C">
      <w:pPr>
        <w:pStyle w:val="Paragraphedeliste"/>
        <w:widowControl w:val="0"/>
        <w:numPr>
          <w:ilvl w:val="0"/>
          <w:numId w:val="13"/>
        </w:numPr>
        <w:autoSpaceDE w:val="0"/>
        <w:autoSpaceDN w:val="0"/>
        <w:adjustRightInd w:val="0"/>
        <w:spacing w:after="0" w:line="240" w:lineRule="auto"/>
        <w:rPr>
          <w:rFonts w:ascii="Calibri" w:hAnsi="Calibri" w:cs="Calibri"/>
        </w:rPr>
      </w:pPr>
      <w:r w:rsidRPr="00D8094C">
        <w:rPr>
          <w:rFonts w:ascii="Calibri" w:hAnsi="Calibri" w:cs="Calibri"/>
        </w:rPr>
        <w:t>Les fils de cadres sont-ils plus souvent cadres qu’ils ne le seraient s’il y avait égalité des chances d’accès aux postes de cadres ?</w:t>
      </w:r>
    </w:p>
    <w:p w:rsidR="00D8094C" w:rsidRPr="00D8094C" w:rsidRDefault="00D8094C" w:rsidP="00D8094C">
      <w:pPr>
        <w:pStyle w:val="Paragraphedeliste"/>
        <w:widowControl w:val="0"/>
        <w:numPr>
          <w:ilvl w:val="0"/>
          <w:numId w:val="13"/>
        </w:numPr>
        <w:autoSpaceDE w:val="0"/>
        <w:autoSpaceDN w:val="0"/>
        <w:adjustRightInd w:val="0"/>
        <w:spacing w:after="0" w:line="240" w:lineRule="auto"/>
        <w:rPr>
          <w:rFonts w:ascii="Calibri" w:hAnsi="Calibri" w:cs="Calibri"/>
        </w:rPr>
      </w:pPr>
      <w:r w:rsidRPr="00D8094C">
        <w:rPr>
          <w:rFonts w:ascii="Calibri" w:hAnsi="Calibri" w:cs="Calibri"/>
        </w:rPr>
        <w:t>D’autres groupes socioprofessionnels sont-ils dans le même cas ?</w:t>
      </w:r>
    </w:p>
    <w:p w:rsidR="00D8094C" w:rsidRPr="00D8094C" w:rsidRDefault="00D8094C" w:rsidP="00D8094C">
      <w:pPr>
        <w:pStyle w:val="Paragraphedeliste"/>
        <w:widowControl w:val="0"/>
        <w:numPr>
          <w:ilvl w:val="0"/>
          <w:numId w:val="13"/>
        </w:numPr>
        <w:autoSpaceDE w:val="0"/>
        <w:autoSpaceDN w:val="0"/>
        <w:adjustRightInd w:val="0"/>
        <w:spacing w:after="0" w:line="240" w:lineRule="auto"/>
        <w:rPr>
          <w:rFonts w:ascii="Calibri" w:hAnsi="Calibri" w:cs="Calibri"/>
        </w:rPr>
      </w:pPr>
      <w:r w:rsidRPr="00D8094C">
        <w:rPr>
          <w:rFonts w:ascii="Calibri" w:hAnsi="Calibri" w:cs="Calibri"/>
        </w:rPr>
        <w:t>Un fils de cadre a-t-il de fortes chances de devenir employé ou ouvrier ?</w:t>
      </w:r>
    </w:p>
    <w:p w:rsidR="00D8094C" w:rsidRPr="00D8094C" w:rsidRDefault="00D8094C" w:rsidP="00D8094C">
      <w:pPr>
        <w:pStyle w:val="Paragraphedeliste"/>
        <w:widowControl w:val="0"/>
        <w:numPr>
          <w:ilvl w:val="0"/>
          <w:numId w:val="13"/>
        </w:numPr>
        <w:autoSpaceDE w:val="0"/>
        <w:autoSpaceDN w:val="0"/>
        <w:adjustRightInd w:val="0"/>
        <w:spacing w:after="0" w:line="240" w:lineRule="auto"/>
        <w:rPr>
          <w:rFonts w:ascii="Calibri" w:hAnsi="Calibri" w:cs="Calibri"/>
        </w:rPr>
      </w:pPr>
      <w:r w:rsidRPr="00D8094C">
        <w:rPr>
          <w:rFonts w:ascii="Calibri" w:hAnsi="Calibri" w:cs="Calibri"/>
        </w:rPr>
        <w:t>Un fils d’ouvrier a-t-il de fortes chances de devenir cadre ?</w:t>
      </w:r>
    </w:p>
    <w:p w:rsidR="000B5854" w:rsidRDefault="000B5854" w:rsidP="000B5854">
      <w:pPr>
        <w:jc w:val="left"/>
        <w:rPr>
          <w:rFonts w:ascii="Calibri Light" w:hAnsi="Calibri Light"/>
          <w:b/>
          <w:color w:val="000000" w:themeColor="text1"/>
          <w:sz w:val="32"/>
          <w:szCs w:val="32"/>
        </w:rPr>
      </w:pPr>
      <w:r>
        <w:rPr>
          <w:rFonts w:ascii="Calibri Light" w:hAnsi="Calibri Light"/>
          <w:b/>
          <w:color w:val="000000" w:themeColor="text1"/>
          <w:sz w:val="32"/>
          <w:szCs w:val="32"/>
        </w:rPr>
        <w:br w:type="page"/>
      </w:r>
    </w:p>
    <w:p w:rsidR="000B5854" w:rsidRPr="00506EBE" w:rsidRDefault="000B5854" w:rsidP="000B5854">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Pr="00506EBE">
        <w:rPr>
          <w:rFonts w:ascii="Calibri Light" w:hAnsi="Calibri Light"/>
          <w:b/>
          <w:color w:val="000000" w:themeColor="text1"/>
          <w:sz w:val="32"/>
          <w:szCs w:val="32"/>
        </w:rPr>
        <w:t> : Tâche finale (</w:t>
      </w:r>
      <w:r>
        <w:rPr>
          <w:rFonts w:ascii="Calibri Light" w:hAnsi="Calibri Light"/>
          <w:b/>
          <w:color w:val="000000" w:themeColor="text1"/>
          <w:sz w:val="32"/>
          <w:szCs w:val="32"/>
        </w:rPr>
        <w:t>20 mn</w:t>
      </w:r>
      <w:r w:rsidRPr="00506EBE">
        <w:rPr>
          <w:rFonts w:ascii="Calibri Light" w:hAnsi="Calibri Light"/>
          <w:b/>
          <w:color w:val="000000" w:themeColor="text1"/>
          <w:sz w:val="32"/>
          <w:szCs w:val="32"/>
        </w:rPr>
        <w:t>)</w:t>
      </w:r>
    </w:p>
    <w:p w:rsidR="000B5854" w:rsidRPr="001C5798" w:rsidRDefault="000B5854" w:rsidP="000B5854">
      <w:pPr>
        <w:rPr>
          <w:rFonts w:ascii="Calibri Light" w:hAnsi="Calibri Light" w:cs="Calibri Light"/>
          <w:b/>
          <w:color w:val="000000" w:themeColor="text1"/>
          <w:sz w:val="24"/>
          <w:szCs w:val="24"/>
        </w:rPr>
      </w:pPr>
      <w:r w:rsidRPr="001C5798">
        <w:rPr>
          <w:rFonts w:ascii="Calibri Light" w:hAnsi="Calibri Light" w:cs="Calibri Light"/>
          <w:b/>
          <w:color w:val="000000" w:themeColor="text1"/>
          <w:sz w:val="24"/>
          <w:szCs w:val="24"/>
        </w:rPr>
        <w:t>Question</w:t>
      </w:r>
      <w:r w:rsidR="00E6680C">
        <w:rPr>
          <w:rFonts w:ascii="Calibri Light" w:hAnsi="Calibri Light" w:cs="Calibri Light"/>
          <w:b/>
          <w:color w:val="000000" w:themeColor="text1"/>
          <w:sz w:val="24"/>
          <w:szCs w:val="24"/>
        </w:rPr>
        <w:t>s</w:t>
      </w:r>
      <w:r w:rsidRPr="001C5798">
        <w:rPr>
          <w:rFonts w:ascii="Calibri Light" w:hAnsi="Calibri Light" w:cs="Calibri Light"/>
          <w:b/>
          <w:color w:val="000000" w:themeColor="text1"/>
          <w:sz w:val="24"/>
          <w:szCs w:val="24"/>
        </w:rPr>
        <w:t xml:space="preserve"> de synthèse</w:t>
      </w:r>
    </w:p>
    <w:p w:rsidR="00E6680C" w:rsidRPr="00E6680C" w:rsidRDefault="00E6680C" w:rsidP="00E6680C">
      <w:pPr>
        <w:pStyle w:val="Paragraphedeliste"/>
        <w:numPr>
          <w:ilvl w:val="0"/>
          <w:numId w:val="16"/>
        </w:numPr>
        <w:rPr>
          <w:rFonts w:asciiTheme="minorHAnsi" w:hAnsiTheme="minorHAnsi" w:cstheme="minorHAnsi"/>
          <w:color w:val="000000" w:themeColor="text1"/>
          <w:szCs w:val="20"/>
        </w:rPr>
      </w:pPr>
      <w:r w:rsidRPr="00E6680C">
        <w:rPr>
          <w:rFonts w:asciiTheme="minorHAnsi" w:hAnsiTheme="minorHAnsi" w:cstheme="minorHAnsi"/>
          <w:color w:val="000000" w:themeColor="text1"/>
          <w:szCs w:val="20"/>
        </w:rPr>
        <w:t>Montrez comment la socialisation différenciée selon le genre perpétue les rôles</w:t>
      </w:r>
      <w:r>
        <w:rPr>
          <w:rFonts w:asciiTheme="minorHAnsi" w:hAnsiTheme="minorHAnsi" w:cstheme="minorHAnsi"/>
          <w:color w:val="000000" w:themeColor="text1"/>
          <w:szCs w:val="20"/>
        </w:rPr>
        <w:t xml:space="preserve"> </w:t>
      </w:r>
      <w:r w:rsidRPr="00E6680C">
        <w:rPr>
          <w:rFonts w:asciiTheme="minorHAnsi" w:hAnsiTheme="minorHAnsi" w:cstheme="minorHAnsi"/>
          <w:color w:val="000000" w:themeColor="text1"/>
          <w:szCs w:val="20"/>
        </w:rPr>
        <w:t>masculins et féminins dans nos sociétés.</w:t>
      </w:r>
    </w:p>
    <w:p w:rsidR="000B5854" w:rsidRPr="00E6680C" w:rsidRDefault="00E6680C" w:rsidP="00E6680C">
      <w:pPr>
        <w:pStyle w:val="Paragraphedeliste"/>
        <w:numPr>
          <w:ilvl w:val="0"/>
          <w:numId w:val="16"/>
        </w:numPr>
        <w:rPr>
          <w:rFonts w:ascii="Calibri Light" w:hAnsi="Calibri Light"/>
          <w:b/>
          <w:color w:val="000000" w:themeColor="text1"/>
          <w:sz w:val="24"/>
          <w:szCs w:val="24"/>
        </w:rPr>
      </w:pPr>
      <w:r w:rsidRPr="00E6680C">
        <w:rPr>
          <w:rFonts w:asciiTheme="minorHAnsi" w:hAnsiTheme="minorHAnsi" w:cstheme="minorHAnsi"/>
          <w:color w:val="000000" w:themeColor="text1"/>
          <w:szCs w:val="20"/>
        </w:rPr>
        <w:t>Montrez comment la socialisation différenciée selon l’origine sociale explique la</w:t>
      </w:r>
      <w:r>
        <w:rPr>
          <w:rFonts w:asciiTheme="minorHAnsi" w:hAnsiTheme="minorHAnsi" w:cstheme="minorHAnsi"/>
          <w:color w:val="000000" w:themeColor="text1"/>
          <w:szCs w:val="20"/>
        </w:rPr>
        <w:t xml:space="preserve"> </w:t>
      </w:r>
      <w:r w:rsidRPr="00E6680C">
        <w:rPr>
          <w:rFonts w:asciiTheme="minorHAnsi" w:hAnsiTheme="minorHAnsi" w:cstheme="minorHAnsi"/>
          <w:color w:val="000000" w:themeColor="text1"/>
          <w:szCs w:val="20"/>
        </w:rPr>
        <w:t>reproduction sociale dans nos sociétés.</w:t>
      </w:r>
    </w:p>
    <w:p w:rsidR="00E6680C" w:rsidRPr="00E6680C" w:rsidRDefault="00E6680C" w:rsidP="00E6680C">
      <w:pPr>
        <w:rPr>
          <w:rFonts w:ascii="Calibri Light" w:hAnsi="Calibri Light"/>
          <w:b/>
          <w:color w:val="000000" w:themeColor="text1"/>
          <w:szCs w:val="20"/>
        </w:rPr>
      </w:pPr>
      <w:r w:rsidRPr="00E6680C">
        <w:rPr>
          <w:rFonts w:ascii="Calibri Light" w:hAnsi="Calibri Light"/>
          <w:b/>
          <w:color w:val="000000" w:themeColor="text1"/>
          <w:szCs w:val="20"/>
        </w:rPr>
        <w:t>Conseil : mobilisez ce que vous avez vu dans la vidéo ainsi que le travail effectué sur les documents précédents.</w:t>
      </w:r>
    </w:p>
    <w:p w:rsidR="00E6680C" w:rsidRPr="00E6680C" w:rsidRDefault="00E6680C" w:rsidP="00E6680C">
      <w:pPr>
        <w:rPr>
          <w:rFonts w:ascii="Calibri Light" w:hAnsi="Calibri Light"/>
          <w:b/>
          <w:color w:val="000000" w:themeColor="text1"/>
          <w:sz w:val="24"/>
          <w:szCs w:val="24"/>
        </w:rPr>
      </w:pPr>
    </w:p>
    <w:p w:rsidR="000B5854" w:rsidRDefault="000B5854" w:rsidP="000B5854">
      <w:pPr>
        <w:jc w:val="left"/>
        <w:rPr>
          <w:rFonts w:ascii="Calibri Light" w:hAnsi="Calibri Light"/>
          <w:b/>
          <w:color w:val="000000" w:themeColor="text1"/>
          <w:sz w:val="32"/>
          <w:szCs w:val="32"/>
        </w:rPr>
      </w:pPr>
      <w:r>
        <w:rPr>
          <w:rFonts w:ascii="Calibri Light" w:hAnsi="Calibri Light"/>
          <w:b/>
          <w:color w:val="000000" w:themeColor="text1"/>
          <w:sz w:val="32"/>
          <w:szCs w:val="32"/>
        </w:rPr>
        <w:br w:type="page"/>
      </w:r>
    </w:p>
    <w:p w:rsidR="000B5854" w:rsidRPr="00506EBE" w:rsidRDefault="000B5854" w:rsidP="000B5854">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3 (facultative)</w:t>
      </w:r>
      <w:r w:rsidRPr="00506EBE">
        <w:rPr>
          <w:rFonts w:ascii="Calibri Light" w:hAnsi="Calibri Light"/>
          <w:b/>
          <w:color w:val="000000" w:themeColor="text1"/>
          <w:sz w:val="32"/>
          <w:szCs w:val="32"/>
        </w:rPr>
        <w:t xml:space="preserve"> : </w:t>
      </w:r>
      <w:r>
        <w:rPr>
          <w:rFonts w:ascii="Calibri Light" w:hAnsi="Calibri Light"/>
          <w:b/>
          <w:color w:val="000000" w:themeColor="text1"/>
          <w:sz w:val="32"/>
          <w:szCs w:val="32"/>
        </w:rPr>
        <w:t>Bonus</w:t>
      </w:r>
      <w:r w:rsidRPr="00506EBE">
        <w:rPr>
          <w:rFonts w:ascii="Calibri Light" w:hAnsi="Calibri Light"/>
          <w:b/>
          <w:color w:val="000000" w:themeColor="text1"/>
          <w:sz w:val="32"/>
          <w:szCs w:val="32"/>
        </w:rPr>
        <w:t xml:space="preserve"> (</w:t>
      </w:r>
      <w:r w:rsidR="00E6680C">
        <w:rPr>
          <w:rFonts w:ascii="Calibri Light" w:hAnsi="Calibri Light"/>
          <w:b/>
          <w:color w:val="000000" w:themeColor="text1"/>
          <w:sz w:val="32"/>
          <w:szCs w:val="32"/>
        </w:rPr>
        <w:t>30</w:t>
      </w:r>
      <w:r>
        <w:rPr>
          <w:rFonts w:ascii="Calibri Light" w:hAnsi="Calibri Light"/>
          <w:b/>
          <w:color w:val="000000" w:themeColor="text1"/>
          <w:sz w:val="32"/>
          <w:szCs w:val="32"/>
        </w:rPr>
        <w:t xml:space="preserve"> mn</w:t>
      </w:r>
      <w:r w:rsidRPr="00506EBE">
        <w:rPr>
          <w:rFonts w:ascii="Calibri Light" w:hAnsi="Calibri Light"/>
          <w:b/>
          <w:color w:val="000000" w:themeColor="text1"/>
          <w:sz w:val="32"/>
          <w:szCs w:val="32"/>
        </w:rPr>
        <w:t>)</w:t>
      </w:r>
    </w:p>
    <w:p w:rsidR="000B5854" w:rsidRDefault="000B5854" w:rsidP="000B5854">
      <w:pPr>
        <w:rPr>
          <w:rFonts w:ascii="Calibri Light" w:hAnsi="Calibri Light"/>
          <w:b/>
          <w:color w:val="000000" w:themeColor="text1"/>
          <w:sz w:val="24"/>
          <w:szCs w:val="24"/>
        </w:rPr>
      </w:pPr>
    </w:p>
    <w:p w:rsidR="000B5854" w:rsidRPr="00B24087" w:rsidRDefault="000B5854" w:rsidP="000B5854">
      <w:pPr>
        <w:pStyle w:val="NormalWeb"/>
        <w:jc w:val="both"/>
        <w:rPr>
          <w:rFonts w:ascii="Calibri Light" w:hAnsi="Calibri Light" w:cs="Calibri Light"/>
          <w:b/>
        </w:rPr>
      </w:pPr>
      <w:r w:rsidRPr="00B24087">
        <w:rPr>
          <w:rFonts w:ascii="Calibri Light" w:hAnsi="Calibri Light" w:cs="Calibri Light"/>
          <w:b/>
        </w:rPr>
        <w:t xml:space="preserve">Bonus 1 – </w:t>
      </w:r>
      <w:r w:rsidR="00EF5173">
        <w:rPr>
          <w:rStyle w:val="lev"/>
          <w:rFonts w:ascii="Calibri Light" w:hAnsi="Calibri Light" w:cs="Calibri Light"/>
          <w:b w:val="0"/>
        </w:rPr>
        <w:t>Le partage des tâches au sein du couple</w:t>
      </w:r>
    </w:p>
    <w:p w:rsidR="00EF5173" w:rsidRPr="00EF1CEA" w:rsidRDefault="00EF5173" w:rsidP="00EF5173">
      <w:pPr>
        <w:jc w:val="center"/>
        <w:rPr>
          <w:b/>
        </w:rPr>
      </w:pPr>
      <w:r w:rsidRPr="00EF1CEA">
        <w:rPr>
          <w:b/>
        </w:rPr>
        <w:t>Activités selon le genre</w:t>
      </w:r>
    </w:p>
    <w:tbl>
      <w:tblPr>
        <w:tblW w:w="9225" w:type="dxa"/>
        <w:tblInd w:w="59" w:type="dxa"/>
        <w:tblLayout w:type="fixed"/>
        <w:tblCellMar>
          <w:left w:w="70" w:type="dxa"/>
          <w:right w:w="70" w:type="dxa"/>
        </w:tblCellMar>
        <w:tblLook w:val="04A0"/>
      </w:tblPr>
      <w:tblGrid>
        <w:gridCol w:w="3980"/>
        <w:gridCol w:w="655"/>
        <w:gridCol w:w="656"/>
        <w:gridCol w:w="655"/>
        <w:gridCol w:w="656"/>
        <w:gridCol w:w="656"/>
        <w:gridCol w:w="655"/>
        <w:gridCol w:w="656"/>
        <w:gridCol w:w="656"/>
      </w:tblGrid>
      <w:tr w:rsidR="00EF5173" w:rsidRPr="00EF5173" w:rsidTr="00621F51">
        <w:trPr>
          <w:trHeight w:val="225"/>
        </w:trPr>
        <w:tc>
          <w:tcPr>
            <w:tcW w:w="3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5173" w:rsidRPr="00EF5173" w:rsidRDefault="00EF5173" w:rsidP="00EF5173">
            <w:pPr>
              <w:spacing w:after="0" w:line="240" w:lineRule="auto"/>
              <w:jc w:val="center"/>
              <w:rPr>
                <w:rFonts w:cs="Calibri"/>
                <w:b/>
                <w:color w:val="000000"/>
                <w:sz w:val="16"/>
                <w:szCs w:val="16"/>
              </w:rPr>
            </w:pPr>
            <w:r w:rsidRPr="00EF5173">
              <w:rPr>
                <w:rFonts w:cs="Calibri"/>
                <w:b/>
                <w:color w:val="000000"/>
                <w:sz w:val="16"/>
                <w:szCs w:val="16"/>
              </w:rPr>
              <w:t>en heures/minutes par jour</w:t>
            </w:r>
          </w:p>
        </w:tc>
        <w:tc>
          <w:tcPr>
            <w:tcW w:w="2622" w:type="dxa"/>
            <w:gridSpan w:val="4"/>
            <w:tcBorders>
              <w:top w:val="single" w:sz="4" w:space="0" w:color="auto"/>
              <w:left w:val="nil"/>
              <w:bottom w:val="single" w:sz="4" w:space="0" w:color="auto"/>
              <w:right w:val="single" w:sz="4" w:space="0" w:color="auto"/>
            </w:tcBorders>
            <w:shd w:val="clear" w:color="auto" w:fill="auto"/>
            <w:noWrap/>
            <w:vAlign w:val="center"/>
            <w:hideMark/>
          </w:tcPr>
          <w:p w:rsidR="00EF5173" w:rsidRPr="00EF5173" w:rsidRDefault="00EF5173" w:rsidP="00EF5173">
            <w:pPr>
              <w:spacing w:after="0" w:line="240" w:lineRule="auto"/>
              <w:jc w:val="center"/>
              <w:rPr>
                <w:rFonts w:cs="Calibri"/>
                <w:b/>
                <w:color w:val="000000"/>
                <w:sz w:val="16"/>
                <w:szCs w:val="16"/>
              </w:rPr>
            </w:pPr>
            <w:r w:rsidRPr="00EF5173">
              <w:rPr>
                <w:rFonts w:cs="Calibri"/>
                <w:b/>
                <w:color w:val="000000"/>
                <w:sz w:val="16"/>
                <w:szCs w:val="16"/>
              </w:rPr>
              <w:t>Femmes</w:t>
            </w:r>
          </w:p>
        </w:tc>
        <w:tc>
          <w:tcPr>
            <w:tcW w:w="2623" w:type="dxa"/>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F5173" w:rsidRPr="00EF5173" w:rsidRDefault="00EF5173" w:rsidP="00EF5173">
            <w:pPr>
              <w:spacing w:after="0" w:line="240" w:lineRule="auto"/>
              <w:jc w:val="center"/>
              <w:rPr>
                <w:rFonts w:cs="Calibri"/>
                <w:b/>
                <w:color w:val="000000"/>
                <w:sz w:val="16"/>
                <w:szCs w:val="16"/>
              </w:rPr>
            </w:pPr>
            <w:r w:rsidRPr="00EF5173">
              <w:rPr>
                <w:rFonts w:cs="Calibri"/>
                <w:b/>
                <w:color w:val="000000"/>
                <w:sz w:val="16"/>
                <w:szCs w:val="16"/>
              </w:rPr>
              <w:t>Hommes</w:t>
            </w:r>
          </w:p>
        </w:tc>
      </w:tr>
      <w:tr w:rsidR="00EF5173" w:rsidRPr="00EF5173" w:rsidTr="00621F51">
        <w:trPr>
          <w:trHeight w:val="225"/>
        </w:trPr>
        <w:tc>
          <w:tcPr>
            <w:tcW w:w="3980" w:type="dxa"/>
            <w:vMerge/>
            <w:tcBorders>
              <w:top w:val="single" w:sz="4" w:space="0" w:color="000000"/>
              <w:left w:val="single" w:sz="4" w:space="0" w:color="000000"/>
              <w:bottom w:val="single" w:sz="4" w:space="0" w:color="000000"/>
              <w:right w:val="single" w:sz="4" w:space="0" w:color="000000"/>
            </w:tcBorders>
            <w:vAlign w:val="center"/>
            <w:hideMark/>
          </w:tcPr>
          <w:p w:rsidR="00EF5173" w:rsidRPr="00EF5173" w:rsidRDefault="00EF5173" w:rsidP="00EF5173">
            <w:pPr>
              <w:spacing w:after="0" w:line="240" w:lineRule="auto"/>
              <w:jc w:val="center"/>
              <w:rPr>
                <w:rFonts w:cs="Calibri"/>
                <w:color w:val="000000"/>
                <w:sz w:val="16"/>
                <w:szCs w:val="16"/>
              </w:rPr>
            </w:pPr>
          </w:p>
        </w:tc>
        <w:tc>
          <w:tcPr>
            <w:tcW w:w="655" w:type="dxa"/>
            <w:tcBorders>
              <w:top w:val="nil"/>
              <w:left w:val="nil"/>
              <w:bottom w:val="single" w:sz="4" w:space="0" w:color="000000"/>
              <w:right w:val="single" w:sz="4" w:space="0" w:color="000000"/>
            </w:tcBorders>
            <w:shd w:val="clear" w:color="auto" w:fill="auto"/>
            <w:vAlign w:val="center"/>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1974</w:t>
            </w:r>
          </w:p>
        </w:tc>
        <w:tc>
          <w:tcPr>
            <w:tcW w:w="656" w:type="dxa"/>
            <w:tcBorders>
              <w:top w:val="nil"/>
              <w:left w:val="nil"/>
              <w:bottom w:val="single" w:sz="4" w:space="0" w:color="000000"/>
              <w:right w:val="single" w:sz="4" w:space="0" w:color="000000"/>
            </w:tcBorders>
            <w:shd w:val="clear" w:color="auto" w:fill="auto"/>
            <w:vAlign w:val="center"/>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1986</w:t>
            </w:r>
          </w:p>
        </w:tc>
        <w:tc>
          <w:tcPr>
            <w:tcW w:w="655" w:type="dxa"/>
            <w:tcBorders>
              <w:top w:val="nil"/>
              <w:left w:val="nil"/>
              <w:bottom w:val="single" w:sz="4" w:space="0" w:color="000000"/>
              <w:right w:val="single" w:sz="4" w:space="0" w:color="000000"/>
            </w:tcBorders>
            <w:shd w:val="clear" w:color="auto" w:fill="auto"/>
            <w:vAlign w:val="center"/>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1998</w:t>
            </w:r>
          </w:p>
        </w:tc>
        <w:tc>
          <w:tcPr>
            <w:tcW w:w="656" w:type="dxa"/>
            <w:tcBorders>
              <w:top w:val="nil"/>
              <w:left w:val="nil"/>
              <w:bottom w:val="single" w:sz="4" w:space="0" w:color="000000"/>
              <w:right w:val="single" w:sz="4" w:space="0" w:color="000000"/>
            </w:tcBorders>
            <w:shd w:val="clear" w:color="auto" w:fill="auto"/>
            <w:vAlign w:val="center"/>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2010</w:t>
            </w:r>
          </w:p>
        </w:tc>
        <w:tc>
          <w:tcPr>
            <w:tcW w:w="656" w:type="dxa"/>
            <w:tcBorders>
              <w:top w:val="nil"/>
              <w:left w:val="nil"/>
              <w:bottom w:val="single" w:sz="4" w:space="0" w:color="000000"/>
              <w:right w:val="single" w:sz="4" w:space="0" w:color="000000"/>
            </w:tcBorders>
            <w:shd w:val="clear" w:color="auto" w:fill="D9D9D9" w:themeFill="background1" w:themeFillShade="D9"/>
            <w:vAlign w:val="center"/>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1974</w:t>
            </w:r>
          </w:p>
        </w:tc>
        <w:tc>
          <w:tcPr>
            <w:tcW w:w="655" w:type="dxa"/>
            <w:tcBorders>
              <w:top w:val="nil"/>
              <w:left w:val="nil"/>
              <w:bottom w:val="single" w:sz="4" w:space="0" w:color="000000"/>
              <w:right w:val="single" w:sz="4" w:space="0" w:color="000000"/>
            </w:tcBorders>
            <w:shd w:val="clear" w:color="auto" w:fill="D9D9D9" w:themeFill="background1" w:themeFillShade="D9"/>
            <w:vAlign w:val="center"/>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1986</w:t>
            </w:r>
          </w:p>
        </w:tc>
        <w:tc>
          <w:tcPr>
            <w:tcW w:w="656" w:type="dxa"/>
            <w:tcBorders>
              <w:top w:val="nil"/>
              <w:left w:val="nil"/>
              <w:bottom w:val="single" w:sz="4" w:space="0" w:color="000000"/>
              <w:right w:val="single" w:sz="4" w:space="0" w:color="000000"/>
            </w:tcBorders>
            <w:shd w:val="clear" w:color="auto" w:fill="D9D9D9" w:themeFill="background1" w:themeFillShade="D9"/>
            <w:vAlign w:val="center"/>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1998</w:t>
            </w:r>
          </w:p>
        </w:tc>
        <w:tc>
          <w:tcPr>
            <w:tcW w:w="656" w:type="dxa"/>
            <w:tcBorders>
              <w:top w:val="nil"/>
              <w:left w:val="nil"/>
              <w:bottom w:val="single" w:sz="4" w:space="0" w:color="000000"/>
              <w:right w:val="single" w:sz="4" w:space="0" w:color="000000"/>
            </w:tcBorders>
            <w:shd w:val="clear" w:color="auto" w:fill="D9D9D9" w:themeFill="background1" w:themeFillShade="D9"/>
            <w:vAlign w:val="center"/>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2010</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jc w:val="left"/>
              <w:rPr>
                <w:rFonts w:cs="Calibri"/>
                <w:b/>
                <w:bCs/>
                <w:sz w:val="16"/>
                <w:szCs w:val="16"/>
              </w:rPr>
            </w:pPr>
            <w:r w:rsidRPr="00EF5173">
              <w:rPr>
                <w:rFonts w:cs="Calibri"/>
                <w:b/>
                <w:bCs/>
                <w:sz w:val="16"/>
                <w:szCs w:val="16"/>
              </w:rPr>
              <w:t>Activité professionnelle et études</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2h46</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2h38</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2h43</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2h37</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5h23</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4h34</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4h12</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3h53</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01. Travail professionnel</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2h19</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2h05</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2h03</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1h57</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4h39</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3h43</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3h22</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3h07</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02. Trajets domicile-travail (ou lieu d’étude)</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0h16</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0h17</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0h16</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0h19</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0h32</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0h29</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0h26</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0h28</w:t>
            </w:r>
          </w:p>
        </w:tc>
      </w:tr>
      <w:tr w:rsidR="00EF5173" w:rsidRPr="00EF5173" w:rsidTr="00621F51">
        <w:trPr>
          <w:trHeight w:val="225"/>
        </w:trPr>
        <w:tc>
          <w:tcPr>
            <w:tcW w:w="3980" w:type="dxa"/>
            <w:tcBorders>
              <w:top w:val="nil"/>
              <w:left w:val="single" w:sz="4" w:space="0" w:color="000000"/>
              <w:bottom w:val="single" w:sz="4" w:space="0" w:color="000000"/>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03. Etudes</w:t>
            </w:r>
          </w:p>
        </w:tc>
        <w:tc>
          <w:tcPr>
            <w:tcW w:w="655"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0h11</w:t>
            </w:r>
          </w:p>
        </w:tc>
        <w:tc>
          <w:tcPr>
            <w:tcW w:w="656"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0h16</w:t>
            </w:r>
          </w:p>
        </w:tc>
        <w:tc>
          <w:tcPr>
            <w:tcW w:w="655"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0h24</w:t>
            </w:r>
          </w:p>
        </w:tc>
        <w:tc>
          <w:tcPr>
            <w:tcW w:w="656"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0h21</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0h12</w:t>
            </w:r>
          </w:p>
        </w:tc>
        <w:tc>
          <w:tcPr>
            <w:tcW w:w="655"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0h22</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0h24</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0h18</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jc w:val="left"/>
              <w:rPr>
                <w:rFonts w:cs="Calibri"/>
                <w:b/>
                <w:bCs/>
                <w:sz w:val="16"/>
                <w:szCs w:val="16"/>
              </w:rPr>
            </w:pPr>
            <w:r w:rsidRPr="00EF5173">
              <w:rPr>
                <w:rFonts w:cs="Calibri"/>
                <w:b/>
                <w:bCs/>
                <w:sz w:val="16"/>
                <w:szCs w:val="16"/>
              </w:rPr>
              <w:t>Activités domestiques</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5h32</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5h07</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4h33</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4h07</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2h03</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2h35</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2h36</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2h36</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04. Cuisine</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1h12</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1h04</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0h58</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0h54</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0h16</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0h17</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0h17</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0h20</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05. Vaisselle</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0h46</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0h39</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0h24</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0h19</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0h09</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0h13</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0h09</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0h09</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06. Entretien du linge</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0h29</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0h28</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0h22</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0h19</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0h01</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0h03</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0h03</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0h04</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07. Ménage</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0h54</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0h52</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0h58</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0h50</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0h11</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0h11</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0h13</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0h17</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08. Courses</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0h39</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0h40</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0h41</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0h35</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0h24</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0h28</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0h33</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0h28</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09. Soins et éducation des enfants</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0h38</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0h35</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0h31</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0h35</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0h09</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0h13</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0h11</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0h16</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10. Tricot, couture</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0h28</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0h20</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0h08</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0h04</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0h01</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0h01</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0h00</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0h00</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11. Bricolage</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0h02</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0h02</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0h04</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0h04</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0h19</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0h26</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0h30</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0h22</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12. Jardinage, soins aux animaux</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0h10</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0h12</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0h12</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0h11</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0h19</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0h23</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0h21</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0h19</w:t>
            </w:r>
          </w:p>
        </w:tc>
      </w:tr>
      <w:tr w:rsidR="00EF5173" w:rsidRPr="00EF5173" w:rsidTr="00621F51">
        <w:trPr>
          <w:trHeight w:val="225"/>
        </w:trPr>
        <w:tc>
          <w:tcPr>
            <w:tcW w:w="3980" w:type="dxa"/>
            <w:tcBorders>
              <w:top w:val="nil"/>
              <w:left w:val="single" w:sz="4" w:space="0" w:color="000000"/>
              <w:bottom w:val="single" w:sz="4" w:space="0" w:color="000000"/>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13. Travaux domestiques divers</w:t>
            </w:r>
          </w:p>
        </w:tc>
        <w:tc>
          <w:tcPr>
            <w:tcW w:w="655"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0h14</w:t>
            </w:r>
          </w:p>
        </w:tc>
        <w:tc>
          <w:tcPr>
            <w:tcW w:w="656"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0h15</w:t>
            </w:r>
          </w:p>
        </w:tc>
        <w:tc>
          <w:tcPr>
            <w:tcW w:w="655"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0h15</w:t>
            </w:r>
          </w:p>
        </w:tc>
        <w:tc>
          <w:tcPr>
            <w:tcW w:w="656"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0h16</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0h14</w:t>
            </w:r>
          </w:p>
        </w:tc>
        <w:tc>
          <w:tcPr>
            <w:tcW w:w="655"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0h20</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0h19</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0h21</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jc w:val="left"/>
              <w:rPr>
                <w:rFonts w:cs="Calibri"/>
                <w:b/>
                <w:bCs/>
                <w:sz w:val="16"/>
                <w:szCs w:val="16"/>
              </w:rPr>
            </w:pPr>
            <w:r w:rsidRPr="00EF5173">
              <w:rPr>
                <w:rFonts w:cs="Calibri"/>
                <w:b/>
                <w:bCs/>
                <w:sz w:val="16"/>
                <w:szCs w:val="16"/>
              </w:rPr>
              <w:t>Activités personnelles et récupération</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12h12</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12h07</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12h10</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12h22</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12h15</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11h52</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11h57</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12h01</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14. Sommeil, toilette, soins personnels</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9h37</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9h38</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9h40</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9h42</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9h27</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9h17</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9h18</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9h19</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15. Sieste, détente</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0h33</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0h34</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0h22</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0h29</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0h31</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0h31</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0h25</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0h28</w:t>
            </w:r>
          </w:p>
        </w:tc>
      </w:tr>
      <w:tr w:rsidR="00EF5173" w:rsidRPr="00EF5173" w:rsidTr="00621F51">
        <w:trPr>
          <w:trHeight w:val="225"/>
        </w:trPr>
        <w:tc>
          <w:tcPr>
            <w:tcW w:w="3980" w:type="dxa"/>
            <w:tcBorders>
              <w:top w:val="nil"/>
              <w:left w:val="single" w:sz="4" w:space="0" w:color="000000"/>
              <w:bottom w:val="single" w:sz="4" w:space="0" w:color="000000"/>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16. Repas</w:t>
            </w:r>
          </w:p>
        </w:tc>
        <w:tc>
          <w:tcPr>
            <w:tcW w:w="655"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2h02</w:t>
            </w:r>
          </w:p>
        </w:tc>
        <w:tc>
          <w:tcPr>
            <w:tcW w:w="656"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1h55</w:t>
            </w:r>
          </w:p>
        </w:tc>
        <w:tc>
          <w:tcPr>
            <w:tcW w:w="655"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2h08</w:t>
            </w:r>
          </w:p>
        </w:tc>
        <w:tc>
          <w:tcPr>
            <w:tcW w:w="656"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2h11</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2h17</w:t>
            </w:r>
          </w:p>
        </w:tc>
        <w:tc>
          <w:tcPr>
            <w:tcW w:w="655"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2h04</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2h14</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2h14</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jc w:val="left"/>
              <w:rPr>
                <w:rFonts w:cs="Calibri"/>
                <w:b/>
                <w:bCs/>
                <w:sz w:val="16"/>
                <w:szCs w:val="16"/>
              </w:rPr>
            </w:pPr>
            <w:r w:rsidRPr="00EF5173">
              <w:rPr>
                <w:rFonts w:cs="Calibri"/>
                <w:b/>
                <w:bCs/>
                <w:sz w:val="16"/>
                <w:szCs w:val="16"/>
              </w:rPr>
              <w:t>Activités de loisir et temps libre</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3h30</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4h08</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4h34</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4h54</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4h19</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4h59</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5h15</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5h30</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17. Télévision</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1h17</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1h39</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2h05</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2h03</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1h30</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1h57</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2h15</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2h18</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18. Radio, écoute de musique</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0h05</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0h05</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0h03</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0h02</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0h08</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0h08</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0h05</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0h02</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19. Lecture</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0h26</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0h26</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0h27</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0h20</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0h36</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0h32</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0h27</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0h17</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20. Promenade</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0h10</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0h13</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0h17</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0h17</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0h17</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0h18</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0h24</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0h19</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21. Sport</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0h01</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0h04</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0h04</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0h06</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0h06</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0h12</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0h09</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0h14</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22. Spectacle</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0h02</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0h04</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0h05</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0h05</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0h04</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0h06</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0h06</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0h06</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23. Conversation</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0h33</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0h32</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0h19</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0h21</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0h29</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0h32</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0h15</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0h17</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24. Visite, réception de la famille ou d’amis</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0h21</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0h25</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0h27</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0h29</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0h19</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0h20</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0h30</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0h29</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25. Participation associative ou religieuse</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0h04</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0h05</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0h07</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0h06</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0h05</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0h06</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0h11</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0h07</w:t>
            </w:r>
          </w:p>
        </w:tc>
      </w:tr>
      <w:tr w:rsidR="00EF5173" w:rsidRPr="00EF5173" w:rsidTr="00621F51">
        <w:trPr>
          <w:trHeight w:val="225"/>
        </w:trPr>
        <w:tc>
          <w:tcPr>
            <w:tcW w:w="3980" w:type="dxa"/>
            <w:tcBorders>
              <w:top w:val="nil"/>
              <w:left w:val="single" w:sz="4" w:space="0" w:color="000000"/>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26. Activités récréatives (jeux,…)</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0h05</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0h09</w:t>
            </w:r>
          </w:p>
        </w:tc>
        <w:tc>
          <w:tcPr>
            <w:tcW w:w="655"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0h12</w:t>
            </w:r>
          </w:p>
        </w:tc>
        <w:tc>
          <w:tcPr>
            <w:tcW w:w="656" w:type="dxa"/>
            <w:tcBorders>
              <w:top w:val="nil"/>
              <w:left w:val="nil"/>
              <w:bottom w:val="nil"/>
              <w:right w:val="single" w:sz="4" w:space="0" w:color="000000"/>
            </w:tcBorders>
            <w:shd w:val="clear" w:color="auto" w:fill="auto"/>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0h27</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0h11</w:t>
            </w:r>
          </w:p>
        </w:tc>
        <w:tc>
          <w:tcPr>
            <w:tcW w:w="655"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0h14</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0h21</w:t>
            </w:r>
          </w:p>
        </w:tc>
        <w:tc>
          <w:tcPr>
            <w:tcW w:w="656" w:type="dxa"/>
            <w:tcBorders>
              <w:top w:val="nil"/>
              <w:left w:val="nil"/>
              <w:bottom w:val="nil"/>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0h40</w:t>
            </w:r>
          </w:p>
        </w:tc>
      </w:tr>
      <w:tr w:rsidR="00EF5173" w:rsidRPr="00EF5173" w:rsidTr="00621F51">
        <w:trPr>
          <w:trHeight w:val="227"/>
        </w:trPr>
        <w:tc>
          <w:tcPr>
            <w:tcW w:w="3980" w:type="dxa"/>
            <w:tcBorders>
              <w:top w:val="nil"/>
              <w:left w:val="single" w:sz="4" w:space="0" w:color="000000"/>
              <w:bottom w:val="single" w:sz="4" w:space="0" w:color="000000"/>
              <w:right w:val="single" w:sz="4" w:space="0" w:color="000000"/>
            </w:tcBorders>
            <w:shd w:val="clear" w:color="auto" w:fill="auto"/>
            <w:hideMark/>
          </w:tcPr>
          <w:p w:rsidR="00EF5173" w:rsidRPr="00EF5173" w:rsidRDefault="00EF5173" w:rsidP="00EF5173">
            <w:pPr>
              <w:spacing w:after="0" w:line="240" w:lineRule="auto"/>
              <w:ind w:firstLineChars="100" w:firstLine="160"/>
              <w:jc w:val="left"/>
              <w:rPr>
                <w:rFonts w:cs="Calibri"/>
                <w:sz w:val="16"/>
                <w:szCs w:val="16"/>
              </w:rPr>
            </w:pPr>
            <w:r w:rsidRPr="00EF5173">
              <w:rPr>
                <w:rFonts w:cs="Calibri"/>
                <w:sz w:val="16"/>
                <w:szCs w:val="16"/>
              </w:rPr>
              <w:t>27. Trajets (sauf ceux à but professionnel ou domestique)</w:t>
            </w:r>
          </w:p>
        </w:tc>
        <w:tc>
          <w:tcPr>
            <w:tcW w:w="655"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0h26</w:t>
            </w:r>
          </w:p>
        </w:tc>
        <w:tc>
          <w:tcPr>
            <w:tcW w:w="656"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0h26</w:t>
            </w:r>
          </w:p>
        </w:tc>
        <w:tc>
          <w:tcPr>
            <w:tcW w:w="655"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0h28</w:t>
            </w:r>
          </w:p>
        </w:tc>
        <w:tc>
          <w:tcPr>
            <w:tcW w:w="656"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ind w:firstLineChars="100" w:firstLine="160"/>
              <w:jc w:val="center"/>
              <w:rPr>
                <w:rFonts w:cs="Calibri"/>
                <w:sz w:val="16"/>
                <w:szCs w:val="16"/>
              </w:rPr>
            </w:pPr>
            <w:r w:rsidRPr="00EF5173">
              <w:rPr>
                <w:rFonts w:cs="Calibri"/>
                <w:sz w:val="16"/>
                <w:szCs w:val="16"/>
              </w:rPr>
              <w:t>0h38</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0h34</w:t>
            </w:r>
          </w:p>
        </w:tc>
        <w:tc>
          <w:tcPr>
            <w:tcW w:w="655"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0h34</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0h32</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sz w:val="16"/>
                <w:szCs w:val="16"/>
              </w:rPr>
            </w:pPr>
            <w:r w:rsidRPr="00EF5173">
              <w:rPr>
                <w:rFonts w:cs="Calibri"/>
                <w:sz w:val="16"/>
                <w:szCs w:val="16"/>
              </w:rPr>
              <w:t>0h41</w:t>
            </w:r>
          </w:p>
        </w:tc>
      </w:tr>
      <w:tr w:rsidR="00EF5173" w:rsidRPr="00EF5173" w:rsidTr="00621F51">
        <w:trPr>
          <w:trHeight w:val="225"/>
        </w:trPr>
        <w:tc>
          <w:tcPr>
            <w:tcW w:w="3980" w:type="dxa"/>
            <w:tcBorders>
              <w:top w:val="nil"/>
              <w:left w:val="single" w:sz="4" w:space="0" w:color="000000"/>
              <w:bottom w:val="single" w:sz="4" w:space="0" w:color="000000"/>
              <w:right w:val="single" w:sz="4" w:space="0" w:color="000000"/>
            </w:tcBorders>
            <w:shd w:val="clear" w:color="auto" w:fill="auto"/>
            <w:hideMark/>
          </w:tcPr>
          <w:p w:rsidR="00EF5173" w:rsidRPr="00EF5173" w:rsidRDefault="00EF5173" w:rsidP="00EF5173">
            <w:pPr>
              <w:spacing w:after="0" w:line="240" w:lineRule="auto"/>
              <w:jc w:val="left"/>
              <w:rPr>
                <w:rFonts w:cs="Calibri"/>
                <w:b/>
                <w:bCs/>
                <w:sz w:val="16"/>
                <w:szCs w:val="16"/>
              </w:rPr>
            </w:pPr>
            <w:r w:rsidRPr="00EF5173">
              <w:rPr>
                <w:rFonts w:cs="Calibri"/>
                <w:b/>
                <w:bCs/>
                <w:sz w:val="16"/>
                <w:szCs w:val="16"/>
              </w:rPr>
              <w:t>Total</w:t>
            </w:r>
          </w:p>
        </w:tc>
        <w:tc>
          <w:tcPr>
            <w:tcW w:w="655"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24h</w:t>
            </w:r>
          </w:p>
        </w:tc>
        <w:tc>
          <w:tcPr>
            <w:tcW w:w="656"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24h</w:t>
            </w:r>
          </w:p>
        </w:tc>
        <w:tc>
          <w:tcPr>
            <w:tcW w:w="655"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24h</w:t>
            </w:r>
          </w:p>
        </w:tc>
        <w:tc>
          <w:tcPr>
            <w:tcW w:w="656" w:type="dxa"/>
            <w:tcBorders>
              <w:top w:val="nil"/>
              <w:left w:val="nil"/>
              <w:bottom w:val="single" w:sz="4" w:space="0" w:color="000000"/>
              <w:right w:val="single" w:sz="4" w:space="0" w:color="000000"/>
            </w:tcBorders>
            <w:shd w:val="clear" w:color="auto" w:fill="auto"/>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24h</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24h</w:t>
            </w:r>
          </w:p>
        </w:tc>
        <w:tc>
          <w:tcPr>
            <w:tcW w:w="655"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24h</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24h</w:t>
            </w:r>
          </w:p>
        </w:tc>
        <w:tc>
          <w:tcPr>
            <w:tcW w:w="656" w:type="dxa"/>
            <w:tcBorders>
              <w:top w:val="nil"/>
              <w:left w:val="nil"/>
              <w:bottom w:val="single" w:sz="4" w:space="0" w:color="000000"/>
              <w:right w:val="single" w:sz="4" w:space="0" w:color="000000"/>
            </w:tcBorders>
            <w:shd w:val="clear" w:color="auto" w:fill="D9D9D9" w:themeFill="background1" w:themeFillShade="D9"/>
            <w:hideMark/>
          </w:tcPr>
          <w:p w:rsidR="00EF5173" w:rsidRPr="00EF5173" w:rsidRDefault="00EF5173" w:rsidP="00EF5173">
            <w:pPr>
              <w:spacing w:after="0" w:line="240" w:lineRule="auto"/>
              <w:jc w:val="center"/>
              <w:rPr>
                <w:rFonts w:cs="Calibri"/>
                <w:b/>
                <w:sz w:val="16"/>
                <w:szCs w:val="16"/>
              </w:rPr>
            </w:pPr>
            <w:r w:rsidRPr="00EF5173">
              <w:rPr>
                <w:rFonts w:cs="Calibri"/>
                <w:b/>
                <w:sz w:val="16"/>
                <w:szCs w:val="16"/>
              </w:rPr>
              <w:t>24h</w:t>
            </w:r>
          </w:p>
        </w:tc>
      </w:tr>
    </w:tbl>
    <w:p w:rsidR="00EF5173" w:rsidRDefault="00EF5173" w:rsidP="00EF5173">
      <w:r w:rsidRPr="00272FA2">
        <w:t>Lecture : en 1974, les femmes consacraient en moyenne 2h19 par jour au travail professionnel (hors trajets domicile</w:t>
      </w:r>
      <w:r>
        <w:t>-</w:t>
      </w:r>
      <w:r w:rsidRPr="00272FA2">
        <w:t>travail et études).</w:t>
      </w:r>
    </w:p>
    <w:p w:rsidR="00EF5173" w:rsidRDefault="00EF5173" w:rsidP="00EF5173">
      <w:r w:rsidRPr="00272FA2">
        <w:t>Champ : personnes de 18 ans ou plus, vivant en ménage ordinaire, France urbaine.</w:t>
      </w:r>
    </w:p>
    <w:p w:rsidR="00EF5173" w:rsidRPr="00EF5173" w:rsidRDefault="00EF5173" w:rsidP="00EF5173">
      <w:pPr>
        <w:spacing w:after="0" w:line="240" w:lineRule="auto"/>
        <w:jc w:val="right"/>
        <w:rPr>
          <w:b/>
          <w:i/>
        </w:rPr>
      </w:pPr>
    </w:p>
    <w:p w:rsidR="00EF5173" w:rsidRPr="00EF5173" w:rsidRDefault="00EF5173" w:rsidP="00EF5173">
      <w:pPr>
        <w:spacing w:after="0" w:line="240" w:lineRule="auto"/>
        <w:jc w:val="right"/>
        <w:rPr>
          <w:b/>
          <w:i/>
        </w:rPr>
      </w:pPr>
      <w:r w:rsidRPr="00EF5173">
        <w:rPr>
          <w:b/>
          <w:i/>
        </w:rPr>
        <w:t>Source : enquêtes Emploi du temps 1974, 1986, 1998 et 2010, Insee.</w:t>
      </w:r>
    </w:p>
    <w:p w:rsidR="00EF5173" w:rsidRPr="00EF5173" w:rsidRDefault="00313DDF" w:rsidP="00EF5173">
      <w:pPr>
        <w:spacing w:after="0" w:line="240" w:lineRule="auto"/>
        <w:jc w:val="right"/>
        <w:rPr>
          <w:b/>
          <w:i/>
        </w:rPr>
      </w:pPr>
      <w:hyperlink r:id="rId16" w:history="1">
        <w:r w:rsidR="00EF5173" w:rsidRPr="00EF5173">
          <w:rPr>
            <w:rStyle w:val="Lienhypertexte"/>
            <w:b/>
            <w:i/>
          </w:rPr>
          <w:t>Economie et Statistique n°478-479-480</w:t>
        </w:r>
      </w:hyperlink>
      <w:r w:rsidR="00EF5173" w:rsidRPr="00EF5173">
        <w:rPr>
          <w:b/>
          <w:i/>
        </w:rPr>
        <w:t xml:space="preserve"> Octobre 2015 </w:t>
      </w:r>
    </w:p>
    <w:p w:rsidR="00EF5173" w:rsidRPr="00EF5173" w:rsidRDefault="00EF5173" w:rsidP="00EF5173">
      <w:pPr>
        <w:spacing w:after="0" w:line="240" w:lineRule="auto"/>
        <w:jc w:val="right"/>
        <w:rPr>
          <w:b/>
          <w:i/>
        </w:rPr>
      </w:pPr>
      <w:r w:rsidRPr="00EF5173">
        <w:rPr>
          <w:b/>
          <w:i/>
        </w:rPr>
        <w:t xml:space="preserve">- </w:t>
      </w:r>
      <w:hyperlink r:id="rId17" w:history="1">
        <w:r w:rsidRPr="00EF5173">
          <w:rPr>
            <w:rStyle w:val="Lienhypertexte"/>
            <w:b/>
            <w:i/>
          </w:rPr>
          <w:t>La vie quotidienne en France depuis 1974. Les enseignements de l'enquête Emploi du temps</w:t>
        </w:r>
      </w:hyperlink>
      <w:r w:rsidRPr="00EF5173">
        <w:rPr>
          <w:b/>
          <w:i/>
        </w:rPr>
        <w:t xml:space="preserve"> – Cécile Brousse</w:t>
      </w:r>
    </w:p>
    <w:p w:rsidR="00EF5173" w:rsidRDefault="00EF5173" w:rsidP="00EF5173"/>
    <w:p w:rsidR="00EF5173" w:rsidRPr="00EF5173" w:rsidRDefault="00EF5173" w:rsidP="00EF5173">
      <w:pPr>
        <w:pStyle w:val="Paragraphedeliste"/>
        <w:widowControl w:val="0"/>
        <w:numPr>
          <w:ilvl w:val="0"/>
          <w:numId w:val="14"/>
        </w:numPr>
        <w:autoSpaceDE w:val="0"/>
        <w:autoSpaceDN w:val="0"/>
        <w:adjustRightInd w:val="0"/>
        <w:spacing w:after="0" w:line="240" w:lineRule="auto"/>
        <w:rPr>
          <w:rFonts w:ascii="Calibri" w:hAnsi="Calibri" w:cs="Calibri"/>
        </w:rPr>
      </w:pPr>
      <w:r w:rsidRPr="00EF5173">
        <w:rPr>
          <w:rFonts w:ascii="Calibri" w:hAnsi="Calibri" w:cs="Calibri"/>
        </w:rPr>
        <w:t>Parmi les grandes activités apparaissant en gras dans le document, quelles sont celles qui ont connu une évolution importante depuis 1974 ?</w:t>
      </w:r>
    </w:p>
    <w:p w:rsidR="00EF5173" w:rsidRPr="00EF5173" w:rsidRDefault="00EF5173" w:rsidP="00EF5173">
      <w:pPr>
        <w:pStyle w:val="Paragraphedeliste"/>
        <w:widowControl w:val="0"/>
        <w:numPr>
          <w:ilvl w:val="0"/>
          <w:numId w:val="14"/>
        </w:numPr>
        <w:autoSpaceDE w:val="0"/>
        <w:autoSpaceDN w:val="0"/>
        <w:adjustRightInd w:val="0"/>
        <w:spacing w:after="0" w:line="240" w:lineRule="auto"/>
        <w:rPr>
          <w:rFonts w:ascii="Calibri" w:hAnsi="Calibri" w:cs="Calibri"/>
        </w:rPr>
      </w:pPr>
      <w:r w:rsidRPr="00EF5173">
        <w:rPr>
          <w:rFonts w:ascii="Calibri" w:hAnsi="Calibri" w:cs="Calibri"/>
        </w:rPr>
        <w:t>Proposez une mesure des inégalités dans la répartition des tâches domestiques entre les hommes et les femmes en 2010.</w:t>
      </w:r>
    </w:p>
    <w:p w:rsidR="00EF5173" w:rsidRPr="00EF5173" w:rsidRDefault="00EF5173" w:rsidP="00EF5173">
      <w:pPr>
        <w:pStyle w:val="Paragraphedeliste"/>
        <w:widowControl w:val="0"/>
        <w:numPr>
          <w:ilvl w:val="0"/>
          <w:numId w:val="14"/>
        </w:numPr>
        <w:autoSpaceDE w:val="0"/>
        <w:autoSpaceDN w:val="0"/>
        <w:adjustRightInd w:val="0"/>
        <w:spacing w:after="0" w:line="240" w:lineRule="auto"/>
        <w:rPr>
          <w:rFonts w:ascii="Calibri" w:hAnsi="Calibri" w:cs="Calibri"/>
        </w:rPr>
      </w:pPr>
      <w:r w:rsidRPr="00EF5173">
        <w:rPr>
          <w:rFonts w:ascii="Calibri" w:hAnsi="Calibri" w:cs="Calibri"/>
        </w:rPr>
        <w:t>Les évolutions constatées vont-elles dans le sens d’une plus grande égalité dans la répartition des activités entre les hommes et les femmes ?</w:t>
      </w:r>
    </w:p>
    <w:p w:rsidR="000B5854" w:rsidRDefault="000B5854" w:rsidP="000B5854">
      <w:pPr>
        <w:jc w:val="left"/>
        <w:rPr>
          <w:rFonts w:ascii="Calibri Light" w:hAnsi="Calibri Light"/>
          <w:b/>
          <w:noProof/>
          <w:color w:val="000000" w:themeColor="text1"/>
          <w:sz w:val="24"/>
          <w:szCs w:val="24"/>
          <w:lang w:eastAsia="fr-FR"/>
        </w:rPr>
      </w:pPr>
      <w:r>
        <w:br w:type="page"/>
      </w:r>
    </w:p>
    <w:p w:rsidR="000B5854" w:rsidRPr="00942073" w:rsidRDefault="000B5854" w:rsidP="000B5854">
      <w:pPr>
        <w:pStyle w:val="Sansinterligne"/>
      </w:pPr>
      <w:r>
        <w:lastRenderedPageBreak/>
        <w:t>Bonus 2 –</w:t>
      </w:r>
      <w:r w:rsidRPr="00942073">
        <w:t xml:space="preserve"> </w:t>
      </w:r>
      <w:r w:rsidR="00E6680C">
        <w:t>L’homogamie</w:t>
      </w:r>
    </w:p>
    <w:p w:rsidR="000B5854" w:rsidRDefault="000B5854" w:rsidP="000B5854">
      <w:pPr>
        <w:shd w:val="clear" w:color="auto" w:fill="FFFFFF"/>
        <w:spacing w:line="245" w:lineRule="exact"/>
        <w:ind w:right="14"/>
        <w:rPr>
          <w:color w:val="000000"/>
          <w:spacing w:val="4"/>
        </w:rPr>
      </w:pPr>
    </w:p>
    <w:p w:rsidR="00E6680C" w:rsidRPr="00364409" w:rsidRDefault="00E6680C" w:rsidP="00E6680C">
      <w:pPr>
        <w:jc w:val="center"/>
        <w:rPr>
          <w:b/>
        </w:rPr>
      </w:pPr>
      <w:r w:rsidRPr="00364409">
        <w:rPr>
          <w:b/>
        </w:rPr>
        <w:t>Femmes vivant en couple selon leur GSP et celui de leur conjoint</w:t>
      </w:r>
      <w:r>
        <w:rPr>
          <w:b/>
        </w:rPr>
        <w:t xml:space="preserve"> en 2017</w:t>
      </w:r>
    </w:p>
    <w:tbl>
      <w:tblPr>
        <w:tblW w:w="94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44"/>
        <w:gridCol w:w="849"/>
        <w:gridCol w:w="849"/>
        <w:gridCol w:w="849"/>
        <w:gridCol w:w="849"/>
        <w:gridCol w:w="849"/>
        <w:gridCol w:w="849"/>
        <w:gridCol w:w="849"/>
      </w:tblGrid>
      <w:tr w:rsidR="00E6680C" w:rsidRPr="00CE1A8E" w:rsidTr="00621F51">
        <w:trPr>
          <w:trHeight w:val="255"/>
        </w:trPr>
        <w:tc>
          <w:tcPr>
            <w:tcW w:w="3544" w:type="dxa"/>
            <w:shd w:val="clear" w:color="auto" w:fill="auto"/>
            <w:noWrap/>
            <w:vAlign w:val="center"/>
            <w:hideMark/>
          </w:tcPr>
          <w:p w:rsidR="00E6680C" w:rsidRDefault="00E6680C" w:rsidP="00E6680C">
            <w:pPr>
              <w:spacing w:after="0" w:line="240" w:lineRule="auto"/>
              <w:jc w:val="center"/>
              <w:rPr>
                <w:b/>
                <w:sz w:val="16"/>
                <w:szCs w:val="16"/>
              </w:rPr>
            </w:pPr>
            <w:r>
              <w:rPr>
                <w:b/>
                <w:sz w:val="16"/>
                <w:szCs w:val="16"/>
              </w:rPr>
              <w:t>En %</w:t>
            </w:r>
          </w:p>
        </w:tc>
        <w:tc>
          <w:tcPr>
            <w:tcW w:w="5943" w:type="dxa"/>
            <w:gridSpan w:val="7"/>
            <w:shd w:val="clear" w:color="auto" w:fill="auto"/>
            <w:noWrap/>
            <w:vAlign w:val="center"/>
            <w:hideMark/>
          </w:tcPr>
          <w:p w:rsidR="00E6680C" w:rsidRPr="00CE1A8E" w:rsidRDefault="00E6680C" w:rsidP="00E6680C">
            <w:pPr>
              <w:spacing w:after="0" w:line="240" w:lineRule="auto"/>
              <w:jc w:val="center"/>
              <w:rPr>
                <w:b/>
                <w:sz w:val="16"/>
                <w:szCs w:val="16"/>
              </w:rPr>
            </w:pPr>
            <w:r>
              <w:rPr>
                <w:b/>
                <w:sz w:val="16"/>
                <w:szCs w:val="16"/>
              </w:rPr>
              <w:t>G.S.P. de la femme</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center"/>
              <w:rPr>
                <w:b/>
                <w:sz w:val="16"/>
                <w:szCs w:val="16"/>
              </w:rPr>
            </w:pPr>
            <w:r>
              <w:rPr>
                <w:b/>
                <w:sz w:val="16"/>
                <w:szCs w:val="16"/>
              </w:rPr>
              <w:t>G.S.P. de l’homme</w:t>
            </w:r>
          </w:p>
        </w:tc>
        <w:tc>
          <w:tcPr>
            <w:tcW w:w="849" w:type="dxa"/>
            <w:shd w:val="clear" w:color="auto" w:fill="auto"/>
            <w:noWrap/>
            <w:vAlign w:val="center"/>
            <w:hideMark/>
          </w:tcPr>
          <w:p w:rsidR="00E6680C" w:rsidRPr="00CE1A8E" w:rsidRDefault="00E6680C" w:rsidP="00E6680C">
            <w:pPr>
              <w:spacing w:after="0" w:line="240" w:lineRule="auto"/>
              <w:jc w:val="center"/>
              <w:rPr>
                <w:b/>
                <w:sz w:val="16"/>
                <w:szCs w:val="16"/>
              </w:rPr>
            </w:pPr>
            <w:r w:rsidRPr="00CE1A8E">
              <w:rPr>
                <w:b/>
                <w:sz w:val="16"/>
                <w:szCs w:val="16"/>
              </w:rPr>
              <w:t>1</w:t>
            </w:r>
          </w:p>
        </w:tc>
        <w:tc>
          <w:tcPr>
            <w:tcW w:w="849" w:type="dxa"/>
            <w:shd w:val="clear" w:color="auto" w:fill="auto"/>
            <w:noWrap/>
            <w:vAlign w:val="center"/>
            <w:hideMark/>
          </w:tcPr>
          <w:p w:rsidR="00E6680C" w:rsidRPr="00CE1A8E" w:rsidRDefault="00E6680C" w:rsidP="00E6680C">
            <w:pPr>
              <w:spacing w:after="0" w:line="240" w:lineRule="auto"/>
              <w:jc w:val="center"/>
              <w:rPr>
                <w:b/>
                <w:sz w:val="16"/>
                <w:szCs w:val="16"/>
              </w:rPr>
            </w:pPr>
            <w:r w:rsidRPr="00CE1A8E">
              <w:rPr>
                <w:b/>
                <w:sz w:val="16"/>
                <w:szCs w:val="16"/>
              </w:rPr>
              <w:t>2</w:t>
            </w:r>
          </w:p>
        </w:tc>
        <w:tc>
          <w:tcPr>
            <w:tcW w:w="849" w:type="dxa"/>
            <w:shd w:val="clear" w:color="auto" w:fill="auto"/>
            <w:noWrap/>
            <w:vAlign w:val="center"/>
            <w:hideMark/>
          </w:tcPr>
          <w:p w:rsidR="00E6680C" w:rsidRPr="00CE1A8E" w:rsidRDefault="00E6680C" w:rsidP="00E6680C">
            <w:pPr>
              <w:spacing w:after="0" w:line="240" w:lineRule="auto"/>
              <w:jc w:val="center"/>
              <w:rPr>
                <w:b/>
                <w:sz w:val="16"/>
                <w:szCs w:val="16"/>
              </w:rPr>
            </w:pPr>
            <w:r w:rsidRPr="00CE1A8E">
              <w:rPr>
                <w:b/>
                <w:sz w:val="16"/>
                <w:szCs w:val="16"/>
              </w:rPr>
              <w:t>3</w:t>
            </w:r>
          </w:p>
        </w:tc>
        <w:tc>
          <w:tcPr>
            <w:tcW w:w="849" w:type="dxa"/>
            <w:shd w:val="clear" w:color="auto" w:fill="auto"/>
            <w:noWrap/>
            <w:vAlign w:val="center"/>
            <w:hideMark/>
          </w:tcPr>
          <w:p w:rsidR="00E6680C" w:rsidRPr="00CE1A8E" w:rsidRDefault="00E6680C" w:rsidP="00E6680C">
            <w:pPr>
              <w:spacing w:after="0" w:line="240" w:lineRule="auto"/>
              <w:jc w:val="center"/>
              <w:rPr>
                <w:b/>
                <w:sz w:val="16"/>
                <w:szCs w:val="16"/>
              </w:rPr>
            </w:pPr>
            <w:r w:rsidRPr="00CE1A8E">
              <w:rPr>
                <w:b/>
                <w:sz w:val="16"/>
                <w:szCs w:val="16"/>
              </w:rPr>
              <w:t>4</w:t>
            </w:r>
          </w:p>
        </w:tc>
        <w:tc>
          <w:tcPr>
            <w:tcW w:w="849" w:type="dxa"/>
            <w:shd w:val="clear" w:color="auto" w:fill="auto"/>
            <w:noWrap/>
            <w:vAlign w:val="center"/>
            <w:hideMark/>
          </w:tcPr>
          <w:p w:rsidR="00E6680C" w:rsidRPr="00CE1A8E" w:rsidRDefault="00E6680C" w:rsidP="00E6680C">
            <w:pPr>
              <w:spacing w:after="0" w:line="240" w:lineRule="auto"/>
              <w:jc w:val="center"/>
              <w:rPr>
                <w:b/>
                <w:sz w:val="16"/>
                <w:szCs w:val="16"/>
              </w:rPr>
            </w:pPr>
            <w:r w:rsidRPr="00CE1A8E">
              <w:rPr>
                <w:b/>
                <w:sz w:val="16"/>
                <w:szCs w:val="16"/>
              </w:rPr>
              <w:t>5</w:t>
            </w:r>
          </w:p>
        </w:tc>
        <w:tc>
          <w:tcPr>
            <w:tcW w:w="849" w:type="dxa"/>
            <w:shd w:val="clear" w:color="auto" w:fill="auto"/>
            <w:noWrap/>
            <w:vAlign w:val="center"/>
            <w:hideMark/>
          </w:tcPr>
          <w:p w:rsidR="00E6680C" w:rsidRPr="00CE1A8E" w:rsidRDefault="00E6680C" w:rsidP="00E6680C">
            <w:pPr>
              <w:spacing w:after="0" w:line="240" w:lineRule="auto"/>
              <w:jc w:val="center"/>
              <w:rPr>
                <w:b/>
                <w:sz w:val="16"/>
                <w:szCs w:val="16"/>
              </w:rPr>
            </w:pPr>
            <w:r w:rsidRPr="00CE1A8E">
              <w:rPr>
                <w:b/>
                <w:sz w:val="16"/>
                <w:szCs w:val="16"/>
              </w:rPr>
              <w:t>6</w:t>
            </w:r>
          </w:p>
        </w:tc>
        <w:tc>
          <w:tcPr>
            <w:tcW w:w="849" w:type="dxa"/>
            <w:shd w:val="clear" w:color="auto" w:fill="auto"/>
            <w:noWrap/>
            <w:vAlign w:val="center"/>
            <w:hideMark/>
          </w:tcPr>
          <w:p w:rsidR="00E6680C" w:rsidRPr="00CE1A8E" w:rsidRDefault="00E6680C" w:rsidP="00E6680C">
            <w:pPr>
              <w:spacing w:after="0" w:line="240" w:lineRule="auto"/>
              <w:jc w:val="center"/>
              <w:rPr>
                <w:b/>
                <w:sz w:val="16"/>
                <w:szCs w:val="16"/>
              </w:rPr>
            </w:pPr>
            <w:r w:rsidRPr="00CE1A8E">
              <w:rPr>
                <w:b/>
                <w:sz w:val="16"/>
                <w:szCs w:val="16"/>
              </w:rPr>
              <w:t>Total</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left"/>
              <w:rPr>
                <w:sz w:val="16"/>
                <w:szCs w:val="16"/>
              </w:rPr>
            </w:pPr>
            <w:r w:rsidRPr="00CE1A8E">
              <w:rPr>
                <w:sz w:val="16"/>
                <w:szCs w:val="16"/>
              </w:rPr>
              <w:t>1. Agriculteurs exploitants</w:t>
            </w:r>
          </w:p>
        </w:tc>
        <w:tc>
          <w:tcPr>
            <w:tcW w:w="849" w:type="dxa"/>
            <w:shd w:val="clear" w:color="auto" w:fill="auto"/>
            <w:noWrap/>
            <w:vAlign w:val="center"/>
            <w:hideMark/>
          </w:tcPr>
          <w:p w:rsidR="00E6680C" w:rsidRPr="00AA4FEF" w:rsidRDefault="00E6680C" w:rsidP="00E6680C">
            <w:pPr>
              <w:spacing w:after="0" w:line="240" w:lineRule="auto"/>
              <w:jc w:val="right"/>
              <w:rPr>
                <w:b/>
                <w:color w:val="000000"/>
                <w:sz w:val="16"/>
                <w:szCs w:val="16"/>
                <w:u w:val="single"/>
              </w:rPr>
            </w:pPr>
            <w:r w:rsidRPr="00AA4FEF">
              <w:rPr>
                <w:b/>
                <w:color w:val="000000"/>
                <w:sz w:val="16"/>
                <w:szCs w:val="16"/>
                <w:u w:val="single"/>
              </w:rPr>
              <w:t>70,1</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2,4</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1,1</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1,6</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1,6</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2,2</w:t>
            </w:r>
          </w:p>
        </w:tc>
        <w:tc>
          <w:tcPr>
            <w:tcW w:w="849" w:type="dxa"/>
            <w:shd w:val="clear" w:color="auto" w:fill="auto"/>
            <w:noWrap/>
            <w:vAlign w:val="center"/>
            <w:hideMark/>
          </w:tcPr>
          <w:p w:rsidR="00E6680C" w:rsidRPr="00AA4FEF" w:rsidRDefault="00E6680C" w:rsidP="00E6680C">
            <w:pPr>
              <w:spacing w:after="0" w:line="240" w:lineRule="auto"/>
              <w:jc w:val="right"/>
              <w:rPr>
                <w:b/>
                <w:color w:val="000000"/>
                <w:sz w:val="16"/>
                <w:szCs w:val="16"/>
              </w:rPr>
            </w:pPr>
            <w:r w:rsidRPr="00AA4FEF">
              <w:rPr>
                <w:b/>
                <w:color w:val="000000"/>
                <w:sz w:val="16"/>
                <w:szCs w:val="16"/>
              </w:rPr>
              <w:t>2,4</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left"/>
              <w:rPr>
                <w:sz w:val="16"/>
                <w:szCs w:val="16"/>
              </w:rPr>
            </w:pPr>
            <w:r w:rsidRPr="00CE1A8E">
              <w:rPr>
                <w:sz w:val="16"/>
                <w:szCs w:val="16"/>
              </w:rPr>
              <w:t>2. Artisans, commerçants et chefs d'entreprise</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3,0</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37,6</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7,6</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7,5</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8,4</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6,7</w:t>
            </w:r>
          </w:p>
        </w:tc>
        <w:tc>
          <w:tcPr>
            <w:tcW w:w="849" w:type="dxa"/>
            <w:shd w:val="clear" w:color="auto" w:fill="auto"/>
            <w:noWrap/>
            <w:vAlign w:val="center"/>
            <w:hideMark/>
          </w:tcPr>
          <w:p w:rsidR="00E6680C" w:rsidRPr="00AA4FEF" w:rsidRDefault="00E6680C" w:rsidP="00E6680C">
            <w:pPr>
              <w:spacing w:after="0" w:line="240" w:lineRule="auto"/>
              <w:jc w:val="right"/>
              <w:rPr>
                <w:b/>
                <w:color w:val="000000"/>
                <w:sz w:val="16"/>
                <w:szCs w:val="16"/>
              </w:rPr>
            </w:pPr>
            <w:r w:rsidRPr="00AA4FEF">
              <w:rPr>
                <w:b/>
                <w:color w:val="000000"/>
                <w:sz w:val="16"/>
                <w:szCs w:val="16"/>
              </w:rPr>
              <w:t>9,2</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left"/>
              <w:rPr>
                <w:sz w:val="16"/>
                <w:szCs w:val="16"/>
              </w:rPr>
            </w:pPr>
            <w:r w:rsidRPr="00CE1A8E">
              <w:rPr>
                <w:sz w:val="16"/>
                <w:szCs w:val="16"/>
              </w:rPr>
              <w:t>3. Cadres et professions intellectuelles supérieures</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3,1</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17,3</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56,3</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25,6</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10,3</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5,6</w:t>
            </w:r>
          </w:p>
        </w:tc>
        <w:tc>
          <w:tcPr>
            <w:tcW w:w="849" w:type="dxa"/>
            <w:shd w:val="clear" w:color="auto" w:fill="auto"/>
            <w:noWrap/>
            <w:vAlign w:val="center"/>
            <w:hideMark/>
          </w:tcPr>
          <w:p w:rsidR="00E6680C" w:rsidRPr="00AA4FEF" w:rsidRDefault="00E6680C" w:rsidP="00E6680C">
            <w:pPr>
              <w:spacing w:after="0" w:line="240" w:lineRule="auto"/>
              <w:jc w:val="right"/>
              <w:rPr>
                <w:b/>
                <w:color w:val="000000"/>
                <w:sz w:val="16"/>
                <w:szCs w:val="16"/>
              </w:rPr>
            </w:pPr>
            <w:r w:rsidRPr="00AA4FEF">
              <w:rPr>
                <w:b/>
                <w:color w:val="000000"/>
                <w:sz w:val="16"/>
                <w:szCs w:val="16"/>
              </w:rPr>
              <w:t>21,5</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left"/>
              <w:rPr>
                <w:sz w:val="16"/>
                <w:szCs w:val="16"/>
              </w:rPr>
            </w:pPr>
            <w:r w:rsidRPr="00CE1A8E">
              <w:rPr>
                <w:sz w:val="16"/>
                <w:szCs w:val="16"/>
              </w:rPr>
              <w:t>4. Professions intermédiaires</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4,6</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15,7</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21,8</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34,6</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22,1</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15,0</w:t>
            </w:r>
          </w:p>
        </w:tc>
        <w:tc>
          <w:tcPr>
            <w:tcW w:w="849" w:type="dxa"/>
            <w:shd w:val="clear" w:color="auto" w:fill="auto"/>
            <w:noWrap/>
            <w:vAlign w:val="center"/>
            <w:hideMark/>
          </w:tcPr>
          <w:p w:rsidR="00E6680C" w:rsidRPr="00AA4FEF" w:rsidRDefault="00E6680C" w:rsidP="00E6680C">
            <w:pPr>
              <w:spacing w:after="0" w:line="240" w:lineRule="auto"/>
              <w:jc w:val="right"/>
              <w:rPr>
                <w:b/>
                <w:color w:val="000000"/>
                <w:sz w:val="16"/>
                <w:szCs w:val="16"/>
              </w:rPr>
            </w:pPr>
            <w:r w:rsidRPr="00AA4FEF">
              <w:rPr>
                <w:b/>
                <w:color w:val="000000"/>
                <w:sz w:val="16"/>
                <w:szCs w:val="16"/>
              </w:rPr>
              <w:t>24,5</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left"/>
              <w:rPr>
                <w:sz w:val="16"/>
                <w:szCs w:val="16"/>
              </w:rPr>
            </w:pPr>
            <w:r w:rsidRPr="00CE1A8E">
              <w:rPr>
                <w:sz w:val="16"/>
                <w:szCs w:val="16"/>
              </w:rPr>
              <w:t>5. Employés</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2,1</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9,3</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6,0</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10,5</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15,9</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10,0</w:t>
            </w:r>
          </w:p>
        </w:tc>
        <w:tc>
          <w:tcPr>
            <w:tcW w:w="849" w:type="dxa"/>
            <w:shd w:val="clear" w:color="auto" w:fill="auto"/>
            <w:noWrap/>
            <w:vAlign w:val="center"/>
            <w:hideMark/>
          </w:tcPr>
          <w:p w:rsidR="00E6680C" w:rsidRPr="00AA4FEF" w:rsidRDefault="00E6680C" w:rsidP="00E6680C">
            <w:pPr>
              <w:spacing w:after="0" w:line="240" w:lineRule="auto"/>
              <w:jc w:val="right"/>
              <w:rPr>
                <w:b/>
                <w:color w:val="000000"/>
                <w:sz w:val="16"/>
                <w:szCs w:val="16"/>
              </w:rPr>
            </w:pPr>
            <w:r w:rsidRPr="00AA4FEF">
              <w:rPr>
                <w:b/>
                <w:color w:val="000000"/>
                <w:sz w:val="16"/>
                <w:szCs w:val="16"/>
              </w:rPr>
              <w:t>11,9</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left"/>
              <w:rPr>
                <w:sz w:val="16"/>
                <w:szCs w:val="16"/>
              </w:rPr>
            </w:pPr>
            <w:r w:rsidRPr="00CE1A8E">
              <w:rPr>
                <w:sz w:val="16"/>
                <w:szCs w:val="16"/>
              </w:rPr>
              <w:t>6. Ouvriers</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17,1</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17,8</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7,2</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20,1</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41,6</w:t>
            </w:r>
          </w:p>
        </w:tc>
        <w:tc>
          <w:tcPr>
            <w:tcW w:w="849" w:type="dxa"/>
            <w:shd w:val="clear" w:color="auto" w:fill="auto"/>
            <w:noWrap/>
            <w:vAlign w:val="center"/>
            <w:hideMark/>
          </w:tcPr>
          <w:p w:rsidR="00E6680C" w:rsidRPr="007E529C" w:rsidRDefault="00E6680C" w:rsidP="00E6680C">
            <w:pPr>
              <w:spacing w:after="0" w:line="240" w:lineRule="auto"/>
              <w:jc w:val="right"/>
              <w:rPr>
                <w:color w:val="000000"/>
                <w:sz w:val="16"/>
                <w:szCs w:val="16"/>
              </w:rPr>
            </w:pPr>
            <w:r w:rsidRPr="007E529C">
              <w:rPr>
                <w:color w:val="000000"/>
                <w:sz w:val="16"/>
                <w:szCs w:val="16"/>
              </w:rPr>
              <w:t>60,4</w:t>
            </w:r>
          </w:p>
        </w:tc>
        <w:tc>
          <w:tcPr>
            <w:tcW w:w="849" w:type="dxa"/>
            <w:shd w:val="clear" w:color="auto" w:fill="auto"/>
            <w:noWrap/>
            <w:vAlign w:val="center"/>
            <w:hideMark/>
          </w:tcPr>
          <w:p w:rsidR="00E6680C" w:rsidRPr="00AA4FEF" w:rsidRDefault="00E6680C" w:rsidP="00E6680C">
            <w:pPr>
              <w:spacing w:after="0" w:line="240" w:lineRule="auto"/>
              <w:jc w:val="right"/>
              <w:rPr>
                <w:b/>
                <w:color w:val="000000"/>
                <w:sz w:val="16"/>
                <w:szCs w:val="16"/>
              </w:rPr>
            </w:pPr>
            <w:r w:rsidRPr="00AA4FEF">
              <w:rPr>
                <w:b/>
                <w:color w:val="000000"/>
                <w:sz w:val="16"/>
                <w:szCs w:val="16"/>
              </w:rPr>
              <w:t>30,6</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left"/>
              <w:rPr>
                <w:b/>
                <w:sz w:val="16"/>
                <w:szCs w:val="16"/>
              </w:rPr>
            </w:pPr>
            <w:r w:rsidRPr="00CE1A8E">
              <w:rPr>
                <w:b/>
                <w:sz w:val="16"/>
                <w:szCs w:val="16"/>
              </w:rPr>
              <w:t>Total</w:t>
            </w:r>
          </w:p>
        </w:tc>
        <w:tc>
          <w:tcPr>
            <w:tcW w:w="849" w:type="dxa"/>
            <w:shd w:val="clear" w:color="auto" w:fill="auto"/>
            <w:noWrap/>
            <w:vAlign w:val="center"/>
            <w:hideMark/>
          </w:tcPr>
          <w:p w:rsidR="00E6680C" w:rsidRPr="00AA4FEF" w:rsidRDefault="00E6680C" w:rsidP="00E6680C">
            <w:pPr>
              <w:spacing w:after="0" w:line="240" w:lineRule="auto"/>
              <w:jc w:val="right"/>
              <w:rPr>
                <w:b/>
                <w:color w:val="000000"/>
                <w:sz w:val="16"/>
                <w:szCs w:val="16"/>
              </w:rPr>
            </w:pPr>
            <w:r w:rsidRPr="00AA4FEF">
              <w:rPr>
                <w:b/>
                <w:color w:val="000000"/>
                <w:sz w:val="16"/>
                <w:szCs w:val="16"/>
              </w:rPr>
              <w:t>100,0</w:t>
            </w:r>
          </w:p>
        </w:tc>
        <w:tc>
          <w:tcPr>
            <w:tcW w:w="849" w:type="dxa"/>
            <w:shd w:val="clear" w:color="auto" w:fill="auto"/>
            <w:noWrap/>
            <w:vAlign w:val="center"/>
            <w:hideMark/>
          </w:tcPr>
          <w:p w:rsidR="00E6680C" w:rsidRPr="00AA4FEF" w:rsidRDefault="00E6680C" w:rsidP="00E6680C">
            <w:pPr>
              <w:spacing w:after="0" w:line="240" w:lineRule="auto"/>
              <w:jc w:val="right"/>
              <w:rPr>
                <w:b/>
                <w:color w:val="000000"/>
                <w:sz w:val="16"/>
                <w:szCs w:val="16"/>
              </w:rPr>
            </w:pPr>
            <w:r w:rsidRPr="00AA4FEF">
              <w:rPr>
                <w:b/>
                <w:color w:val="000000"/>
                <w:sz w:val="16"/>
                <w:szCs w:val="16"/>
              </w:rPr>
              <w:t>100,0</w:t>
            </w:r>
          </w:p>
        </w:tc>
        <w:tc>
          <w:tcPr>
            <w:tcW w:w="849" w:type="dxa"/>
            <w:shd w:val="clear" w:color="auto" w:fill="auto"/>
            <w:noWrap/>
            <w:vAlign w:val="center"/>
            <w:hideMark/>
          </w:tcPr>
          <w:p w:rsidR="00E6680C" w:rsidRPr="00AA4FEF" w:rsidRDefault="00E6680C" w:rsidP="00E6680C">
            <w:pPr>
              <w:spacing w:after="0" w:line="240" w:lineRule="auto"/>
              <w:jc w:val="right"/>
              <w:rPr>
                <w:b/>
                <w:color w:val="000000"/>
                <w:sz w:val="16"/>
                <w:szCs w:val="16"/>
              </w:rPr>
            </w:pPr>
            <w:r w:rsidRPr="00AA4FEF">
              <w:rPr>
                <w:b/>
                <w:color w:val="000000"/>
                <w:sz w:val="16"/>
                <w:szCs w:val="16"/>
              </w:rPr>
              <w:t>100,0</w:t>
            </w:r>
          </w:p>
        </w:tc>
        <w:tc>
          <w:tcPr>
            <w:tcW w:w="849" w:type="dxa"/>
            <w:shd w:val="clear" w:color="auto" w:fill="auto"/>
            <w:noWrap/>
            <w:vAlign w:val="center"/>
            <w:hideMark/>
          </w:tcPr>
          <w:p w:rsidR="00E6680C" w:rsidRPr="00AA4FEF" w:rsidRDefault="00E6680C" w:rsidP="00E6680C">
            <w:pPr>
              <w:spacing w:after="0" w:line="240" w:lineRule="auto"/>
              <w:jc w:val="right"/>
              <w:rPr>
                <w:b/>
                <w:color w:val="000000"/>
                <w:sz w:val="16"/>
                <w:szCs w:val="16"/>
              </w:rPr>
            </w:pPr>
            <w:r w:rsidRPr="00AA4FEF">
              <w:rPr>
                <w:b/>
                <w:color w:val="000000"/>
                <w:sz w:val="16"/>
                <w:szCs w:val="16"/>
              </w:rPr>
              <w:t>100,0</w:t>
            </w:r>
          </w:p>
        </w:tc>
        <w:tc>
          <w:tcPr>
            <w:tcW w:w="849" w:type="dxa"/>
            <w:shd w:val="clear" w:color="auto" w:fill="auto"/>
            <w:noWrap/>
            <w:vAlign w:val="center"/>
            <w:hideMark/>
          </w:tcPr>
          <w:p w:rsidR="00E6680C" w:rsidRPr="00AA4FEF" w:rsidRDefault="00E6680C" w:rsidP="00E6680C">
            <w:pPr>
              <w:spacing w:after="0" w:line="240" w:lineRule="auto"/>
              <w:jc w:val="right"/>
              <w:rPr>
                <w:b/>
                <w:color w:val="000000"/>
                <w:sz w:val="16"/>
                <w:szCs w:val="16"/>
              </w:rPr>
            </w:pPr>
            <w:r w:rsidRPr="00AA4FEF">
              <w:rPr>
                <w:b/>
                <w:color w:val="000000"/>
                <w:sz w:val="16"/>
                <w:szCs w:val="16"/>
              </w:rPr>
              <w:t>100,0</w:t>
            </w:r>
          </w:p>
        </w:tc>
        <w:tc>
          <w:tcPr>
            <w:tcW w:w="849" w:type="dxa"/>
            <w:shd w:val="clear" w:color="auto" w:fill="auto"/>
            <w:noWrap/>
            <w:vAlign w:val="center"/>
            <w:hideMark/>
          </w:tcPr>
          <w:p w:rsidR="00E6680C" w:rsidRPr="00AA4FEF" w:rsidRDefault="00E6680C" w:rsidP="00E6680C">
            <w:pPr>
              <w:spacing w:after="0" w:line="240" w:lineRule="auto"/>
              <w:jc w:val="right"/>
              <w:rPr>
                <w:b/>
                <w:color w:val="000000"/>
                <w:sz w:val="16"/>
                <w:szCs w:val="16"/>
              </w:rPr>
            </w:pPr>
            <w:r w:rsidRPr="00AA4FEF">
              <w:rPr>
                <w:b/>
                <w:color w:val="000000"/>
                <w:sz w:val="16"/>
                <w:szCs w:val="16"/>
              </w:rPr>
              <w:t>100,0</w:t>
            </w:r>
          </w:p>
        </w:tc>
        <w:tc>
          <w:tcPr>
            <w:tcW w:w="849" w:type="dxa"/>
            <w:shd w:val="clear" w:color="auto" w:fill="auto"/>
            <w:noWrap/>
            <w:vAlign w:val="center"/>
            <w:hideMark/>
          </w:tcPr>
          <w:p w:rsidR="00E6680C" w:rsidRPr="00AA4FEF" w:rsidRDefault="00E6680C" w:rsidP="00E6680C">
            <w:pPr>
              <w:spacing w:after="0" w:line="240" w:lineRule="auto"/>
              <w:jc w:val="right"/>
              <w:rPr>
                <w:b/>
                <w:color w:val="000000"/>
                <w:sz w:val="16"/>
                <w:szCs w:val="16"/>
              </w:rPr>
            </w:pPr>
            <w:r w:rsidRPr="00AA4FEF">
              <w:rPr>
                <w:b/>
                <w:color w:val="000000"/>
                <w:sz w:val="16"/>
                <w:szCs w:val="16"/>
              </w:rPr>
              <w:t>100,0</w:t>
            </w:r>
          </w:p>
        </w:tc>
      </w:tr>
    </w:tbl>
    <w:p w:rsidR="00E6680C" w:rsidRDefault="00E6680C" w:rsidP="00E6680C"/>
    <w:p w:rsidR="00E6680C" w:rsidRPr="00364409" w:rsidRDefault="00E6680C" w:rsidP="00E6680C">
      <w:pPr>
        <w:jc w:val="center"/>
        <w:rPr>
          <w:b/>
        </w:rPr>
      </w:pPr>
      <w:r>
        <w:rPr>
          <w:b/>
        </w:rPr>
        <w:t>Hommes</w:t>
      </w:r>
      <w:r w:rsidRPr="00364409">
        <w:rPr>
          <w:b/>
        </w:rPr>
        <w:t xml:space="preserve"> vivant en couple selon leur GSP et celui de leur conjoint</w:t>
      </w:r>
      <w:r>
        <w:rPr>
          <w:b/>
        </w:rPr>
        <w:t xml:space="preserve"> en 2017</w:t>
      </w:r>
    </w:p>
    <w:tbl>
      <w:tblPr>
        <w:tblW w:w="94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44"/>
        <w:gridCol w:w="849"/>
        <w:gridCol w:w="849"/>
        <w:gridCol w:w="849"/>
        <w:gridCol w:w="849"/>
        <w:gridCol w:w="849"/>
        <w:gridCol w:w="849"/>
        <w:gridCol w:w="849"/>
      </w:tblGrid>
      <w:tr w:rsidR="00E6680C" w:rsidRPr="00CE1A8E" w:rsidTr="00621F51">
        <w:trPr>
          <w:trHeight w:val="255"/>
        </w:trPr>
        <w:tc>
          <w:tcPr>
            <w:tcW w:w="3544" w:type="dxa"/>
            <w:shd w:val="clear" w:color="auto" w:fill="auto"/>
            <w:noWrap/>
            <w:vAlign w:val="center"/>
            <w:hideMark/>
          </w:tcPr>
          <w:p w:rsidR="00E6680C" w:rsidRDefault="00E6680C" w:rsidP="00E6680C">
            <w:pPr>
              <w:spacing w:after="0" w:line="240" w:lineRule="auto"/>
              <w:jc w:val="center"/>
              <w:rPr>
                <w:b/>
                <w:sz w:val="16"/>
                <w:szCs w:val="16"/>
              </w:rPr>
            </w:pPr>
            <w:r>
              <w:rPr>
                <w:b/>
                <w:sz w:val="16"/>
                <w:szCs w:val="16"/>
              </w:rPr>
              <w:t>En %</w:t>
            </w:r>
          </w:p>
        </w:tc>
        <w:tc>
          <w:tcPr>
            <w:tcW w:w="5943" w:type="dxa"/>
            <w:gridSpan w:val="7"/>
            <w:shd w:val="clear" w:color="auto" w:fill="auto"/>
            <w:noWrap/>
            <w:vAlign w:val="center"/>
            <w:hideMark/>
          </w:tcPr>
          <w:p w:rsidR="00E6680C" w:rsidRPr="00CE1A8E" w:rsidRDefault="00E6680C" w:rsidP="00E6680C">
            <w:pPr>
              <w:spacing w:after="0" w:line="240" w:lineRule="auto"/>
              <w:jc w:val="center"/>
              <w:rPr>
                <w:b/>
                <w:sz w:val="16"/>
                <w:szCs w:val="16"/>
              </w:rPr>
            </w:pPr>
            <w:r>
              <w:rPr>
                <w:b/>
                <w:sz w:val="16"/>
                <w:szCs w:val="16"/>
              </w:rPr>
              <w:t>G.S.P. de la femme</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center"/>
              <w:rPr>
                <w:b/>
                <w:sz w:val="16"/>
                <w:szCs w:val="16"/>
              </w:rPr>
            </w:pPr>
            <w:r>
              <w:rPr>
                <w:b/>
                <w:sz w:val="16"/>
                <w:szCs w:val="16"/>
              </w:rPr>
              <w:t>G.S.P. de l’homme</w:t>
            </w:r>
          </w:p>
        </w:tc>
        <w:tc>
          <w:tcPr>
            <w:tcW w:w="849" w:type="dxa"/>
            <w:shd w:val="clear" w:color="auto" w:fill="auto"/>
            <w:noWrap/>
            <w:vAlign w:val="center"/>
            <w:hideMark/>
          </w:tcPr>
          <w:p w:rsidR="00E6680C" w:rsidRPr="00CE1A8E" w:rsidRDefault="00E6680C" w:rsidP="00E6680C">
            <w:pPr>
              <w:spacing w:after="0" w:line="240" w:lineRule="auto"/>
              <w:jc w:val="center"/>
              <w:rPr>
                <w:b/>
                <w:sz w:val="16"/>
                <w:szCs w:val="16"/>
              </w:rPr>
            </w:pPr>
            <w:r w:rsidRPr="00CE1A8E">
              <w:rPr>
                <w:b/>
                <w:sz w:val="16"/>
                <w:szCs w:val="16"/>
              </w:rPr>
              <w:t>1</w:t>
            </w:r>
          </w:p>
        </w:tc>
        <w:tc>
          <w:tcPr>
            <w:tcW w:w="849" w:type="dxa"/>
            <w:shd w:val="clear" w:color="auto" w:fill="auto"/>
            <w:noWrap/>
            <w:vAlign w:val="center"/>
            <w:hideMark/>
          </w:tcPr>
          <w:p w:rsidR="00E6680C" w:rsidRPr="00CE1A8E" w:rsidRDefault="00E6680C" w:rsidP="00E6680C">
            <w:pPr>
              <w:spacing w:after="0" w:line="240" w:lineRule="auto"/>
              <w:jc w:val="center"/>
              <w:rPr>
                <w:b/>
                <w:sz w:val="16"/>
                <w:szCs w:val="16"/>
              </w:rPr>
            </w:pPr>
            <w:r w:rsidRPr="00CE1A8E">
              <w:rPr>
                <w:b/>
                <w:sz w:val="16"/>
                <w:szCs w:val="16"/>
              </w:rPr>
              <w:t>2</w:t>
            </w:r>
          </w:p>
        </w:tc>
        <w:tc>
          <w:tcPr>
            <w:tcW w:w="849" w:type="dxa"/>
            <w:shd w:val="clear" w:color="auto" w:fill="auto"/>
            <w:noWrap/>
            <w:vAlign w:val="center"/>
            <w:hideMark/>
          </w:tcPr>
          <w:p w:rsidR="00E6680C" w:rsidRPr="00CE1A8E" w:rsidRDefault="00E6680C" w:rsidP="00E6680C">
            <w:pPr>
              <w:spacing w:after="0" w:line="240" w:lineRule="auto"/>
              <w:jc w:val="center"/>
              <w:rPr>
                <w:b/>
                <w:sz w:val="16"/>
                <w:szCs w:val="16"/>
              </w:rPr>
            </w:pPr>
            <w:r w:rsidRPr="00CE1A8E">
              <w:rPr>
                <w:b/>
                <w:sz w:val="16"/>
                <w:szCs w:val="16"/>
              </w:rPr>
              <w:t>3</w:t>
            </w:r>
          </w:p>
        </w:tc>
        <w:tc>
          <w:tcPr>
            <w:tcW w:w="849" w:type="dxa"/>
            <w:shd w:val="clear" w:color="auto" w:fill="auto"/>
            <w:noWrap/>
            <w:vAlign w:val="center"/>
            <w:hideMark/>
          </w:tcPr>
          <w:p w:rsidR="00E6680C" w:rsidRPr="00CE1A8E" w:rsidRDefault="00E6680C" w:rsidP="00E6680C">
            <w:pPr>
              <w:spacing w:after="0" w:line="240" w:lineRule="auto"/>
              <w:jc w:val="center"/>
              <w:rPr>
                <w:b/>
                <w:sz w:val="16"/>
                <w:szCs w:val="16"/>
              </w:rPr>
            </w:pPr>
            <w:r w:rsidRPr="00CE1A8E">
              <w:rPr>
                <w:b/>
                <w:sz w:val="16"/>
                <w:szCs w:val="16"/>
              </w:rPr>
              <w:t>4</w:t>
            </w:r>
          </w:p>
        </w:tc>
        <w:tc>
          <w:tcPr>
            <w:tcW w:w="849" w:type="dxa"/>
            <w:shd w:val="clear" w:color="auto" w:fill="auto"/>
            <w:noWrap/>
            <w:vAlign w:val="center"/>
            <w:hideMark/>
          </w:tcPr>
          <w:p w:rsidR="00E6680C" w:rsidRPr="00CE1A8E" w:rsidRDefault="00E6680C" w:rsidP="00E6680C">
            <w:pPr>
              <w:spacing w:after="0" w:line="240" w:lineRule="auto"/>
              <w:jc w:val="center"/>
              <w:rPr>
                <w:b/>
                <w:sz w:val="16"/>
                <w:szCs w:val="16"/>
              </w:rPr>
            </w:pPr>
            <w:r w:rsidRPr="00CE1A8E">
              <w:rPr>
                <w:b/>
                <w:sz w:val="16"/>
                <w:szCs w:val="16"/>
              </w:rPr>
              <w:t>5</w:t>
            </w:r>
          </w:p>
        </w:tc>
        <w:tc>
          <w:tcPr>
            <w:tcW w:w="849" w:type="dxa"/>
            <w:shd w:val="clear" w:color="auto" w:fill="auto"/>
            <w:noWrap/>
            <w:vAlign w:val="center"/>
            <w:hideMark/>
          </w:tcPr>
          <w:p w:rsidR="00E6680C" w:rsidRPr="00CE1A8E" w:rsidRDefault="00E6680C" w:rsidP="00E6680C">
            <w:pPr>
              <w:spacing w:after="0" w:line="240" w:lineRule="auto"/>
              <w:jc w:val="center"/>
              <w:rPr>
                <w:b/>
                <w:sz w:val="16"/>
                <w:szCs w:val="16"/>
              </w:rPr>
            </w:pPr>
            <w:r w:rsidRPr="00CE1A8E">
              <w:rPr>
                <w:b/>
                <w:sz w:val="16"/>
                <w:szCs w:val="16"/>
              </w:rPr>
              <w:t>6</w:t>
            </w:r>
          </w:p>
        </w:tc>
        <w:tc>
          <w:tcPr>
            <w:tcW w:w="849" w:type="dxa"/>
            <w:shd w:val="clear" w:color="auto" w:fill="auto"/>
            <w:noWrap/>
            <w:vAlign w:val="center"/>
            <w:hideMark/>
          </w:tcPr>
          <w:p w:rsidR="00E6680C" w:rsidRPr="00CE1A8E" w:rsidRDefault="00E6680C" w:rsidP="00E6680C">
            <w:pPr>
              <w:spacing w:after="0" w:line="240" w:lineRule="auto"/>
              <w:jc w:val="center"/>
              <w:rPr>
                <w:b/>
                <w:sz w:val="16"/>
                <w:szCs w:val="16"/>
              </w:rPr>
            </w:pPr>
            <w:r w:rsidRPr="00CE1A8E">
              <w:rPr>
                <w:b/>
                <w:sz w:val="16"/>
                <w:szCs w:val="16"/>
              </w:rPr>
              <w:t>Total</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left"/>
              <w:rPr>
                <w:sz w:val="16"/>
                <w:szCs w:val="16"/>
              </w:rPr>
            </w:pPr>
            <w:r w:rsidRPr="00CE1A8E">
              <w:rPr>
                <w:sz w:val="16"/>
                <w:szCs w:val="16"/>
              </w:rPr>
              <w:t>1. Agriculteurs exploitants</w:t>
            </w:r>
          </w:p>
        </w:tc>
        <w:tc>
          <w:tcPr>
            <w:tcW w:w="849" w:type="dxa"/>
            <w:shd w:val="clear" w:color="auto" w:fill="auto"/>
            <w:noWrap/>
            <w:vAlign w:val="center"/>
            <w:hideMark/>
          </w:tcPr>
          <w:p w:rsidR="00E6680C" w:rsidRPr="004035BD" w:rsidRDefault="00E6680C" w:rsidP="00E6680C">
            <w:pPr>
              <w:spacing w:after="0" w:line="240" w:lineRule="auto"/>
              <w:jc w:val="right"/>
              <w:rPr>
                <w:b/>
                <w:color w:val="000000"/>
                <w:sz w:val="16"/>
                <w:szCs w:val="16"/>
                <w:u w:val="single"/>
              </w:rPr>
            </w:pPr>
            <w:r w:rsidRPr="004035BD">
              <w:rPr>
                <w:b/>
                <w:color w:val="000000"/>
                <w:sz w:val="16"/>
                <w:szCs w:val="16"/>
                <w:u w:val="single"/>
              </w:rPr>
              <w:t>31,5</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4,6</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7,2</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19,6</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28,7</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8,4</w:t>
            </w:r>
          </w:p>
        </w:tc>
        <w:tc>
          <w:tcPr>
            <w:tcW w:w="849" w:type="dxa"/>
            <w:shd w:val="clear" w:color="auto" w:fill="auto"/>
            <w:noWrap/>
            <w:vAlign w:val="center"/>
            <w:hideMark/>
          </w:tcPr>
          <w:p w:rsidR="00E6680C" w:rsidRPr="004035BD" w:rsidRDefault="00E6680C" w:rsidP="00E6680C">
            <w:pPr>
              <w:spacing w:after="0" w:line="240" w:lineRule="auto"/>
              <w:jc w:val="right"/>
              <w:rPr>
                <w:b/>
                <w:color w:val="000000"/>
                <w:sz w:val="16"/>
                <w:szCs w:val="16"/>
              </w:rPr>
            </w:pPr>
            <w:r w:rsidRPr="004035BD">
              <w:rPr>
                <w:b/>
                <w:color w:val="000000"/>
                <w:sz w:val="16"/>
                <w:szCs w:val="16"/>
              </w:rPr>
              <w:t>100,0</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left"/>
              <w:rPr>
                <w:sz w:val="16"/>
                <w:szCs w:val="16"/>
              </w:rPr>
            </w:pPr>
            <w:r w:rsidRPr="00CE1A8E">
              <w:rPr>
                <w:sz w:val="16"/>
                <w:szCs w:val="16"/>
              </w:rPr>
              <w:t>2. Artisans, commerçants et chefs d'entreprise</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0,3</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18,7</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12,8</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23,2</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38,6</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6,4</w:t>
            </w:r>
          </w:p>
        </w:tc>
        <w:tc>
          <w:tcPr>
            <w:tcW w:w="849" w:type="dxa"/>
            <w:shd w:val="clear" w:color="auto" w:fill="auto"/>
            <w:noWrap/>
            <w:vAlign w:val="center"/>
            <w:hideMark/>
          </w:tcPr>
          <w:p w:rsidR="00E6680C" w:rsidRPr="004035BD" w:rsidRDefault="00E6680C" w:rsidP="00E6680C">
            <w:pPr>
              <w:spacing w:after="0" w:line="240" w:lineRule="auto"/>
              <w:jc w:val="right"/>
              <w:rPr>
                <w:b/>
                <w:color w:val="000000"/>
                <w:sz w:val="16"/>
                <w:szCs w:val="16"/>
              </w:rPr>
            </w:pPr>
            <w:r w:rsidRPr="004035BD">
              <w:rPr>
                <w:b/>
                <w:color w:val="000000"/>
                <w:sz w:val="16"/>
                <w:szCs w:val="16"/>
              </w:rPr>
              <w:t>100,0</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left"/>
              <w:rPr>
                <w:sz w:val="16"/>
                <w:szCs w:val="16"/>
              </w:rPr>
            </w:pPr>
            <w:r w:rsidRPr="00CE1A8E">
              <w:rPr>
                <w:sz w:val="16"/>
                <w:szCs w:val="16"/>
              </w:rPr>
              <w:t>3. Cadres et professions intellectuelles supérieures</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0,2</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3,7</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40,1</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33,7</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20,1</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2,3</w:t>
            </w:r>
          </w:p>
        </w:tc>
        <w:tc>
          <w:tcPr>
            <w:tcW w:w="849" w:type="dxa"/>
            <w:shd w:val="clear" w:color="auto" w:fill="auto"/>
            <w:noWrap/>
            <w:vAlign w:val="center"/>
            <w:hideMark/>
          </w:tcPr>
          <w:p w:rsidR="00E6680C" w:rsidRPr="004035BD" w:rsidRDefault="00E6680C" w:rsidP="00E6680C">
            <w:pPr>
              <w:spacing w:after="0" w:line="240" w:lineRule="auto"/>
              <w:jc w:val="right"/>
              <w:rPr>
                <w:b/>
                <w:color w:val="000000"/>
                <w:sz w:val="16"/>
                <w:szCs w:val="16"/>
              </w:rPr>
            </w:pPr>
            <w:r w:rsidRPr="004035BD">
              <w:rPr>
                <w:b/>
                <w:color w:val="000000"/>
                <w:sz w:val="16"/>
                <w:szCs w:val="16"/>
              </w:rPr>
              <w:t>100,0</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left"/>
              <w:rPr>
                <w:sz w:val="16"/>
                <w:szCs w:val="16"/>
              </w:rPr>
            </w:pPr>
            <w:r w:rsidRPr="00CE1A8E">
              <w:rPr>
                <w:sz w:val="16"/>
                <w:szCs w:val="16"/>
              </w:rPr>
              <w:t>4. Professions intermédiaires</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0,2</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2,9</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13,7</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39,9</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37,9</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5,4</w:t>
            </w:r>
          </w:p>
        </w:tc>
        <w:tc>
          <w:tcPr>
            <w:tcW w:w="849" w:type="dxa"/>
            <w:shd w:val="clear" w:color="auto" w:fill="auto"/>
            <w:noWrap/>
            <w:vAlign w:val="center"/>
            <w:hideMark/>
          </w:tcPr>
          <w:p w:rsidR="00E6680C" w:rsidRPr="004035BD" w:rsidRDefault="00E6680C" w:rsidP="00E6680C">
            <w:pPr>
              <w:spacing w:after="0" w:line="240" w:lineRule="auto"/>
              <w:jc w:val="right"/>
              <w:rPr>
                <w:b/>
                <w:color w:val="000000"/>
                <w:sz w:val="16"/>
                <w:szCs w:val="16"/>
              </w:rPr>
            </w:pPr>
            <w:r w:rsidRPr="004035BD">
              <w:rPr>
                <w:b/>
                <w:color w:val="000000"/>
                <w:sz w:val="16"/>
                <w:szCs w:val="16"/>
              </w:rPr>
              <w:t>100,0</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left"/>
              <w:rPr>
                <w:sz w:val="16"/>
                <w:szCs w:val="16"/>
              </w:rPr>
            </w:pPr>
            <w:r w:rsidRPr="00CE1A8E">
              <w:rPr>
                <w:sz w:val="16"/>
                <w:szCs w:val="16"/>
              </w:rPr>
              <w:t>5. Employés</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0,2</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3,6</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7,7</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25,0</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56,1</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7,5</w:t>
            </w:r>
          </w:p>
        </w:tc>
        <w:tc>
          <w:tcPr>
            <w:tcW w:w="849" w:type="dxa"/>
            <w:shd w:val="clear" w:color="auto" w:fill="auto"/>
            <w:noWrap/>
            <w:vAlign w:val="center"/>
            <w:hideMark/>
          </w:tcPr>
          <w:p w:rsidR="00E6680C" w:rsidRPr="004035BD" w:rsidRDefault="00E6680C" w:rsidP="00E6680C">
            <w:pPr>
              <w:spacing w:after="0" w:line="240" w:lineRule="auto"/>
              <w:jc w:val="right"/>
              <w:rPr>
                <w:b/>
                <w:color w:val="000000"/>
                <w:sz w:val="16"/>
                <w:szCs w:val="16"/>
              </w:rPr>
            </w:pPr>
            <w:r w:rsidRPr="004035BD">
              <w:rPr>
                <w:b/>
                <w:color w:val="000000"/>
                <w:sz w:val="16"/>
                <w:szCs w:val="16"/>
              </w:rPr>
              <w:t>100,0</w:t>
            </w:r>
          </w:p>
        </w:tc>
      </w:tr>
      <w:tr w:rsidR="00E6680C" w:rsidRPr="00CE1A8E"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left"/>
              <w:rPr>
                <w:sz w:val="16"/>
                <w:szCs w:val="16"/>
              </w:rPr>
            </w:pPr>
            <w:r w:rsidRPr="00CE1A8E">
              <w:rPr>
                <w:sz w:val="16"/>
                <w:szCs w:val="16"/>
              </w:rPr>
              <w:t>6. Ouvriers</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0,6</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2,7</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3,6</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18,6</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57,1</w:t>
            </w:r>
          </w:p>
        </w:tc>
        <w:tc>
          <w:tcPr>
            <w:tcW w:w="849" w:type="dxa"/>
            <w:shd w:val="clear" w:color="auto" w:fill="auto"/>
            <w:noWrap/>
            <w:vAlign w:val="center"/>
            <w:hideMark/>
          </w:tcPr>
          <w:p w:rsidR="00E6680C" w:rsidRPr="00AA4FEF" w:rsidRDefault="00E6680C" w:rsidP="00E6680C">
            <w:pPr>
              <w:spacing w:after="0" w:line="240" w:lineRule="auto"/>
              <w:jc w:val="right"/>
              <w:rPr>
                <w:color w:val="000000"/>
                <w:sz w:val="16"/>
                <w:szCs w:val="16"/>
              </w:rPr>
            </w:pPr>
            <w:r w:rsidRPr="00AA4FEF">
              <w:rPr>
                <w:color w:val="000000"/>
                <w:sz w:val="16"/>
                <w:szCs w:val="16"/>
              </w:rPr>
              <w:t>17,5</w:t>
            </w:r>
          </w:p>
        </w:tc>
        <w:tc>
          <w:tcPr>
            <w:tcW w:w="849" w:type="dxa"/>
            <w:shd w:val="clear" w:color="auto" w:fill="auto"/>
            <w:noWrap/>
            <w:vAlign w:val="center"/>
            <w:hideMark/>
          </w:tcPr>
          <w:p w:rsidR="00E6680C" w:rsidRPr="004035BD" w:rsidRDefault="00E6680C" w:rsidP="00E6680C">
            <w:pPr>
              <w:spacing w:after="0" w:line="240" w:lineRule="auto"/>
              <w:jc w:val="right"/>
              <w:rPr>
                <w:b/>
                <w:color w:val="000000"/>
                <w:sz w:val="16"/>
                <w:szCs w:val="16"/>
              </w:rPr>
            </w:pPr>
            <w:r w:rsidRPr="004035BD">
              <w:rPr>
                <w:b/>
                <w:color w:val="000000"/>
                <w:sz w:val="16"/>
                <w:szCs w:val="16"/>
              </w:rPr>
              <w:t>100,0</w:t>
            </w:r>
          </w:p>
        </w:tc>
      </w:tr>
      <w:tr w:rsidR="00E6680C" w:rsidRPr="000A5B6B" w:rsidTr="00621F51">
        <w:trPr>
          <w:trHeight w:val="255"/>
        </w:trPr>
        <w:tc>
          <w:tcPr>
            <w:tcW w:w="3544" w:type="dxa"/>
            <w:shd w:val="clear" w:color="auto" w:fill="auto"/>
            <w:noWrap/>
            <w:vAlign w:val="center"/>
            <w:hideMark/>
          </w:tcPr>
          <w:p w:rsidR="00E6680C" w:rsidRPr="00CE1A8E" w:rsidRDefault="00E6680C" w:rsidP="00E6680C">
            <w:pPr>
              <w:spacing w:after="0" w:line="240" w:lineRule="auto"/>
              <w:jc w:val="left"/>
              <w:rPr>
                <w:b/>
                <w:sz w:val="16"/>
                <w:szCs w:val="16"/>
              </w:rPr>
            </w:pPr>
            <w:r w:rsidRPr="000A5B6B">
              <w:rPr>
                <w:b/>
                <w:sz w:val="16"/>
                <w:szCs w:val="16"/>
              </w:rPr>
              <w:t>T</w:t>
            </w:r>
            <w:r w:rsidRPr="00CE1A8E">
              <w:rPr>
                <w:b/>
                <w:sz w:val="16"/>
                <w:szCs w:val="16"/>
              </w:rPr>
              <w:t>otal</w:t>
            </w:r>
          </w:p>
        </w:tc>
        <w:tc>
          <w:tcPr>
            <w:tcW w:w="849" w:type="dxa"/>
            <w:shd w:val="clear" w:color="auto" w:fill="auto"/>
            <w:noWrap/>
            <w:vAlign w:val="center"/>
            <w:hideMark/>
          </w:tcPr>
          <w:p w:rsidR="00E6680C" w:rsidRPr="004035BD" w:rsidRDefault="00E6680C" w:rsidP="00E6680C">
            <w:pPr>
              <w:spacing w:after="0" w:line="240" w:lineRule="auto"/>
              <w:jc w:val="right"/>
              <w:rPr>
                <w:b/>
                <w:color w:val="000000"/>
                <w:sz w:val="16"/>
                <w:szCs w:val="16"/>
              </w:rPr>
            </w:pPr>
            <w:r w:rsidRPr="004035BD">
              <w:rPr>
                <w:b/>
                <w:color w:val="000000"/>
                <w:sz w:val="16"/>
                <w:szCs w:val="16"/>
              </w:rPr>
              <w:t>1,1</w:t>
            </w:r>
          </w:p>
        </w:tc>
        <w:tc>
          <w:tcPr>
            <w:tcW w:w="849" w:type="dxa"/>
            <w:shd w:val="clear" w:color="auto" w:fill="auto"/>
            <w:noWrap/>
            <w:vAlign w:val="center"/>
            <w:hideMark/>
          </w:tcPr>
          <w:p w:rsidR="00E6680C" w:rsidRPr="004035BD" w:rsidRDefault="00E6680C" w:rsidP="00E6680C">
            <w:pPr>
              <w:spacing w:after="0" w:line="240" w:lineRule="auto"/>
              <w:jc w:val="right"/>
              <w:rPr>
                <w:b/>
                <w:color w:val="000000"/>
                <w:sz w:val="16"/>
                <w:szCs w:val="16"/>
              </w:rPr>
            </w:pPr>
            <w:r w:rsidRPr="004035BD">
              <w:rPr>
                <w:b/>
                <w:color w:val="000000"/>
                <w:sz w:val="16"/>
                <w:szCs w:val="16"/>
              </w:rPr>
              <w:t>4,6</w:t>
            </w:r>
          </w:p>
        </w:tc>
        <w:tc>
          <w:tcPr>
            <w:tcW w:w="849" w:type="dxa"/>
            <w:shd w:val="clear" w:color="auto" w:fill="auto"/>
            <w:noWrap/>
            <w:vAlign w:val="center"/>
            <w:hideMark/>
          </w:tcPr>
          <w:p w:rsidR="00E6680C" w:rsidRPr="004035BD" w:rsidRDefault="00E6680C" w:rsidP="00E6680C">
            <w:pPr>
              <w:spacing w:after="0" w:line="240" w:lineRule="auto"/>
              <w:jc w:val="right"/>
              <w:rPr>
                <w:b/>
                <w:color w:val="000000"/>
                <w:sz w:val="16"/>
                <w:szCs w:val="16"/>
              </w:rPr>
            </w:pPr>
            <w:r w:rsidRPr="004035BD">
              <w:rPr>
                <w:b/>
                <w:color w:val="000000"/>
                <w:sz w:val="16"/>
                <w:szCs w:val="16"/>
              </w:rPr>
              <w:t>15,3</w:t>
            </w:r>
          </w:p>
        </w:tc>
        <w:tc>
          <w:tcPr>
            <w:tcW w:w="849" w:type="dxa"/>
            <w:shd w:val="clear" w:color="auto" w:fill="auto"/>
            <w:noWrap/>
            <w:vAlign w:val="center"/>
            <w:hideMark/>
          </w:tcPr>
          <w:p w:rsidR="00E6680C" w:rsidRPr="004035BD" w:rsidRDefault="00E6680C" w:rsidP="00E6680C">
            <w:pPr>
              <w:spacing w:after="0" w:line="240" w:lineRule="auto"/>
              <w:jc w:val="right"/>
              <w:rPr>
                <w:b/>
                <w:color w:val="000000"/>
                <w:sz w:val="16"/>
                <w:szCs w:val="16"/>
              </w:rPr>
            </w:pPr>
            <w:r w:rsidRPr="004035BD">
              <w:rPr>
                <w:b/>
                <w:color w:val="000000"/>
                <w:sz w:val="16"/>
                <w:szCs w:val="16"/>
              </w:rPr>
              <w:t>28,2</w:t>
            </w:r>
          </w:p>
        </w:tc>
        <w:tc>
          <w:tcPr>
            <w:tcW w:w="849" w:type="dxa"/>
            <w:shd w:val="clear" w:color="auto" w:fill="auto"/>
            <w:noWrap/>
            <w:vAlign w:val="center"/>
            <w:hideMark/>
          </w:tcPr>
          <w:p w:rsidR="00E6680C" w:rsidRPr="004035BD" w:rsidRDefault="00E6680C" w:rsidP="00E6680C">
            <w:pPr>
              <w:spacing w:after="0" w:line="240" w:lineRule="auto"/>
              <w:jc w:val="right"/>
              <w:rPr>
                <w:b/>
                <w:color w:val="000000"/>
                <w:sz w:val="16"/>
                <w:szCs w:val="16"/>
              </w:rPr>
            </w:pPr>
            <w:r w:rsidRPr="004035BD">
              <w:rPr>
                <w:b/>
                <w:color w:val="000000"/>
                <w:sz w:val="16"/>
                <w:szCs w:val="16"/>
              </w:rPr>
              <w:t>41,9</w:t>
            </w:r>
          </w:p>
        </w:tc>
        <w:tc>
          <w:tcPr>
            <w:tcW w:w="849" w:type="dxa"/>
            <w:shd w:val="clear" w:color="auto" w:fill="auto"/>
            <w:noWrap/>
            <w:vAlign w:val="center"/>
            <w:hideMark/>
          </w:tcPr>
          <w:p w:rsidR="00E6680C" w:rsidRPr="004035BD" w:rsidRDefault="00E6680C" w:rsidP="00E6680C">
            <w:pPr>
              <w:spacing w:after="0" w:line="240" w:lineRule="auto"/>
              <w:jc w:val="right"/>
              <w:rPr>
                <w:b/>
                <w:color w:val="000000"/>
                <w:sz w:val="16"/>
                <w:szCs w:val="16"/>
              </w:rPr>
            </w:pPr>
            <w:r w:rsidRPr="004035BD">
              <w:rPr>
                <w:b/>
                <w:color w:val="000000"/>
                <w:sz w:val="16"/>
                <w:szCs w:val="16"/>
              </w:rPr>
              <w:t>8,9</w:t>
            </w:r>
          </w:p>
        </w:tc>
        <w:tc>
          <w:tcPr>
            <w:tcW w:w="849" w:type="dxa"/>
            <w:shd w:val="clear" w:color="auto" w:fill="auto"/>
            <w:noWrap/>
            <w:vAlign w:val="center"/>
            <w:hideMark/>
          </w:tcPr>
          <w:p w:rsidR="00E6680C" w:rsidRPr="004035BD" w:rsidRDefault="00E6680C" w:rsidP="00E6680C">
            <w:pPr>
              <w:spacing w:after="0" w:line="240" w:lineRule="auto"/>
              <w:jc w:val="right"/>
              <w:rPr>
                <w:b/>
                <w:color w:val="000000"/>
                <w:sz w:val="16"/>
                <w:szCs w:val="16"/>
              </w:rPr>
            </w:pPr>
            <w:r w:rsidRPr="004035BD">
              <w:rPr>
                <w:b/>
                <w:color w:val="000000"/>
                <w:sz w:val="16"/>
                <w:szCs w:val="16"/>
              </w:rPr>
              <w:t>100,0</w:t>
            </w:r>
          </w:p>
        </w:tc>
      </w:tr>
    </w:tbl>
    <w:p w:rsidR="00E6680C" w:rsidRDefault="00E6680C" w:rsidP="00E6680C"/>
    <w:p w:rsidR="00E6680C" w:rsidRPr="00E6680C" w:rsidRDefault="00E6680C" w:rsidP="00E6680C">
      <w:pPr>
        <w:jc w:val="right"/>
        <w:rPr>
          <w:b/>
          <w:i/>
        </w:rPr>
      </w:pPr>
      <w:r w:rsidRPr="00E6680C">
        <w:rPr>
          <w:b/>
          <w:i/>
        </w:rPr>
        <w:t xml:space="preserve">Source : </w:t>
      </w:r>
      <w:r w:rsidRPr="00E6680C">
        <w:rPr>
          <w:rStyle w:val="Lienhypertexte"/>
          <w:b/>
          <w:i/>
          <w:color w:val="auto"/>
        </w:rPr>
        <w:t>Fichiers détails de l’enquête emploi 2017</w:t>
      </w:r>
      <w:r w:rsidRPr="00E6680C">
        <w:rPr>
          <w:b/>
          <w:i/>
        </w:rPr>
        <w:t xml:space="preserve"> (variables : SEXE, CSER et CSTOTPRMCJ), novembre 2018.</w:t>
      </w:r>
    </w:p>
    <w:p w:rsidR="00E6680C" w:rsidRPr="00E6680C" w:rsidRDefault="00E6680C" w:rsidP="00E6680C">
      <w:pPr>
        <w:jc w:val="right"/>
        <w:rPr>
          <w:b/>
          <w:i/>
        </w:rPr>
      </w:pPr>
      <w:r w:rsidRPr="00E6680C">
        <w:rPr>
          <w:b/>
          <w:i/>
        </w:rPr>
        <w:t xml:space="preserve">Calculs : Bruno </w:t>
      </w:r>
      <w:proofErr w:type="spellStart"/>
      <w:r w:rsidRPr="00E6680C">
        <w:rPr>
          <w:b/>
          <w:i/>
        </w:rPr>
        <w:t>Déchamps</w:t>
      </w:r>
      <w:proofErr w:type="spellEnd"/>
      <w:r w:rsidRPr="00E6680C">
        <w:rPr>
          <w:b/>
          <w:i/>
        </w:rPr>
        <w:t>.</w:t>
      </w:r>
    </w:p>
    <w:p w:rsidR="00E6680C" w:rsidRDefault="00E6680C" w:rsidP="00E6680C"/>
    <w:p w:rsidR="00E6680C" w:rsidRDefault="00E6680C" w:rsidP="00E6680C">
      <w:r>
        <w:t xml:space="preserve">GSP = Groupe </w:t>
      </w:r>
      <w:proofErr w:type="spellStart"/>
      <w:r>
        <w:t>SocioProfessionnel</w:t>
      </w:r>
      <w:proofErr w:type="spellEnd"/>
    </w:p>
    <w:p w:rsidR="00E6680C" w:rsidRDefault="00E6680C" w:rsidP="00E6680C"/>
    <w:p w:rsidR="00E6680C" w:rsidRPr="000A5B6B" w:rsidRDefault="00E6680C" w:rsidP="00E6680C">
      <w:pPr>
        <w:pBdr>
          <w:top w:val="single" w:sz="4" w:space="1" w:color="auto"/>
          <w:left w:val="single" w:sz="4" w:space="4" w:color="auto"/>
          <w:bottom w:val="single" w:sz="4" w:space="1" w:color="auto"/>
          <w:right w:val="single" w:sz="4" w:space="4" w:color="auto"/>
        </w:pBdr>
        <w:jc w:val="left"/>
        <w:rPr>
          <w:b/>
          <w:szCs w:val="24"/>
          <w:u w:val="single"/>
        </w:rPr>
      </w:pPr>
      <w:r w:rsidRPr="000A5B6B">
        <w:rPr>
          <w:b/>
          <w:szCs w:val="24"/>
          <w:u w:val="single"/>
        </w:rPr>
        <w:t xml:space="preserve">Homogamie </w:t>
      </w:r>
    </w:p>
    <w:p w:rsidR="00E6680C" w:rsidRDefault="00E6680C" w:rsidP="00E6680C">
      <w:pPr>
        <w:pBdr>
          <w:top w:val="single" w:sz="4" w:space="1" w:color="auto"/>
          <w:left w:val="single" w:sz="4" w:space="4" w:color="auto"/>
          <w:bottom w:val="single" w:sz="4" w:space="1" w:color="auto"/>
          <w:right w:val="single" w:sz="4" w:space="4" w:color="auto"/>
        </w:pBdr>
      </w:pPr>
      <w:r w:rsidRPr="000A5B6B">
        <w:rPr>
          <w:szCs w:val="24"/>
        </w:rPr>
        <w:t>Fait de choisir son conjoint dans le même groupe social que le sien.</w:t>
      </w:r>
    </w:p>
    <w:p w:rsidR="00E6680C" w:rsidRDefault="00E6680C" w:rsidP="00E6680C"/>
    <w:p w:rsidR="00E6680C" w:rsidRPr="00E6680C" w:rsidRDefault="00E6680C" w:rsidP="00E6680C">
      <w:pPr>
        <w:pStyle w:val="Paragraphedeliste"/>
        <w:widowControl w:val="0"/>
        <w:numPr>
          <w:ilvl w:val="0"/>
          <w:numId w:val="15"/>
        </w:numPr>
        <w:autoSpaceDE w:val="0"/>
        <w:autoSpaceDN w:val="0"/>
        <w:adjustRightInd w:val="0"/>
        <w:spacing w:after="0" w:line="240" w:lineRule="auto"/>
        <w:rPr>
          <w:rFonts w:ascii="Calibri" w:hAnsi="Calibri" w:cs="Calibri"/>
        </w:rPr>
      </w:pPr>
      <w:r w:rsidRPr="00E6680C">
        <w:rPr>
          <w:rFonts w:ascii="Calibri" w:hAnsi="Calibri" w:cs="Calibri"/>
        </w:rPr>
        <w:t>Faites une phrase avec la donnée en gras soulignée du premier tableau et du deuxième tableau.</w:t>
      </w:r>
    </w:p>
    <w:p w:rsidR="00E6680C" w:rsidRPr="00E6680C" w:rsidRDefault="00E6680C" w:rsidP="00E6680C">
      <w:pPr>
        <w:pStyle w:val="Paragraphedeliste"/>
        <w:widowControl w:val="0"/>
        <w:numPr>
          <w:ilvl w:val="0"/>
          <w:numId w:val="15"/>
        </w:numPr>
        <w:autoSpaceDE w:val="0"/>
        <w:autoSpaceDN w:val="0"/>
        <w:adjustRightInd w:val="0"/>
        <w:spacing w:after="0" w:line="240" w:lineRule="auto"/>
        <w:rPr>
          <w:rFonts w:ascii="Calibri" w:hAnsi="Calibri" w:cs="Calibri"/>
        </w:rPr>
      </w:pPr>
      <w:r w:rsidRPr="00E6680C">
        <w:rPr>
          <w:rFonts w:ascii="Calibri" w:hAnsi="Calibri" w:cs="Calibri"/>
        </w:rPr>
        <w:t>Que décrit la dernière colonne du 1° tableau ?</w:t>
      </w:r>
    </w:p>
    <w:p w:rsidR="00E6680C" w:rsidRPr="00E6680C" w:rsidRDefault="00E6680C" w:rsidP="00E6680C">
      <w:pPr>
        <w:pStyle w:val="Paragraphedeliste"/>
        <w:widowControl w:val="0"/>
        <w:numPr>
          <w:ilvl w:val="0"/>
          <w:numId w:val="15"/>
        </w:numPr>
        <w:autoSpaceDE w:val="0"/>
        <w:autoSpaceDN w:val="0"/>
        <w:adjustRightInd w:val="0"/>
        <w:spacing w:after="0" w:line="240" w:lineRule="auto"/>
        <w:rPr>
          <w:rFonts w:ascii="Calibri" w:hAnsi="Calibri" w:cs="Calibri"/>
        </w:rPr>
      </w:pPr>
      <w:r w:rsidRPr="00E6680C">
        <w:rPr>
          <w:rFonts w:ascii="Calibri" w:hAnsi="Calibri" w:cs="Calibri"/>
        </w:rPr>
        <w:t>Que décrit la dernière ligne du 2° tableau ?</w:t>
      </w:r>
    </w:p>
    <w:p w:rsidR="00E6680C" w:rsidRPr="00E6680C" w:rsidRDefault="00E6680C" w:rsidP="00E6680C">
      <w:pPr>
        <w:pStyle w:val="Paragraphedeliste"/>
        <w:widowControl w:val="0"/>
        <w:numPr>
          <w:ilvl w:val="0"/>
          <w:numId w:val="15"/>
        </w:numPr>
        <w:autoSpaceDE w:val="0"/>
        <w:autoSpaceDN w:val="0"/>
        <w:adjustRightInd w:val="0"/>
        <w:spacing w:after="0" w:line="240" w:lineRule="auto"/>
        <w:rPr>
          <w:rFonts w:ascii="Calibri" w:hAnsi="Calibri" w:cs="Calibri"/>
        </w:rPr>
      </w:pPr>
      <w:r w:rsidRPr="00E6680C">
        <w:rPr>
          <w:rFonts w:ascii="Calibri" w:hAnsi="Calibri" w:cs="Calibri"/>
        </w:rPr>
        <w:t>Dans quelles cases des tableaux peut-on lire l’homogamie ?</w:t>
      </w:r>
    </w:p>
    <w:p w:rsidR="00E6680C" w:rsidRPr="00E6680C" w:rsidRDefault="00E6680C" w:rsidP="00E6680C">
      <w:pPr>
        <w:pStyle w:val="Paragraphedeliste"/>
        <w:widowControl w:val="0"/>
        <w:numPr>
          <w:ilvl w:val="0"/>
          <w:numId w:val="15"/>
        </w:numPr>
        <w:autoSpaceDE w:val="0"/>
        <w:autoSpaceDN w:val="0"/>
        <w:adjustRightInd w:val="0"/>
        <w:spacing w:after="0" w:line="240" w:lineRule="auto"/>
        <w:rPr>
          <w:rFonts w:ascii="Calibri" w:hAnsi="Calibri" w:cs="Calibri"/>
        </w:rPr>
      </w:pPr>
      <w:r w:rsidRPr="00E6680C">
        <w:rPr>
          <w:rFonts w:ascii="Calibri" w:hAnsi="Calibri" w:cs="Calibri"/>
        </w:rPr>
        <w:t>Peut-on dire à la lecture de ces tableaux que le choix du conjoint se fait au hasard ? (Comparez les valeurs dans les colonnes 1 à 6 du 1° tableau à celles de la colonne Total – Comparez les lignes 1 à 6 du 2° tableau à celles de la ligne Total).</w:t>
      </w:r>
    </w:p>
    <w:p w:rsidR="00293153" w:rsidRDefault="00293153" w:rsidP="00E6680C">
      <w:pPr>
        <w:shd w:val="clear" w:color="auto" w:fill="FFFFFF"/>
        <w:spacing w:line="245" w:lineRule="exact"/>
        <w:ind w:right="14"/>
      </w:pPr>
    </w:p>
    <w:sectPr w:rsidR="00293153" w:rsidSect="00CF1CBD">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E53" w:rsidRDefault="00206E53" w:rsidP="005652AC">
      <w:pPr>
        <w:spacing w:after="0" w:line="240" w:lineRule="auto"/>
      </w:pPr>
      <w:r>
        <w:separator/>
      </w:r>
    </w:p>
  </w:endnote>
  <w:endnote w:type="continuationSeparator" w:id="0">
    <w:p w:rsidR="00206E53" w:rsidRDefault="00206E53" w:rsidP="00565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BF21ED" w:rsidP="00EB5D8A">
    <w:pPr>
      <w:pStyle w:val="Pieddepage"/>
      <w:jc w:val="right"/>
    </w:pPr>
    <w:r>
      <w:rPr>
        <w:rFonts w:ascii="Times New Roman" w:hAnsi="Times New Roman"/>
      </w:rPr>
      <w:t xml:space="preserve">Page </w:t>
    </w:r>
    <w:r w:rsidR="00313DDF">
      <w:rPr>
        <w:rFonts w:ascii="Times New Roman" w:hAnsi="Times New Roman"/>
      </w:rPr>
      <w:fldChar w:fldCharType="begin"/>
    </w:r>
    <w:r>
      <w:rPr>
        <w:rFonts w:ascii="Times New Roman" w:hAnsi="Times New Roman"/>
      </w:rPr>
      <w:instrText xml:space="preserve"> PAGE </w:instrText>
    </w:r>
    <w:r w:rsidR="00313DDF">
      <w:rPr>
        <w:rFonts w:ascii="Times New Roman" w:hAnsi="Times New Roman"/>
      </w:rPr>
      <w:fldChar w:fldCharType="separate"/>
    </w:r>
    <w:r w:rsidR="00EF3CB0">
      <w:rPr>
        <w:rFonts w:ascii="Times New Roman" w:hAnsi="Times New Roman"/>
        <w:noProof/>
      </w:rPr>
      <w:t>1</w:t>
    </w:r>
    <w:r w:rsidR="00313DDF">
      <w:rPr>
        <w:rFonts w:ascii="Times New Roman" w:hAnsi="Times New Roman"/>
      </w:rPr>
      <w:fldChar w:fldCharType="end"/>
    </w:r>
    <w:r>
      <w:rPr>
        <w:rFonts w:ascii="Times New Roman" w:hAnsi="Times New Roman"/>
      </w:rPr>
      <w:t xml:space="preserve"> sur </w:t>
    </w:r>
    <w:r w:rsidR="00313DDF">
      <w:rPr>
        <w:rFonts w:ascii="Times New Roman" w:hAnsi="Times New Roman"/>
      </w:rPr>
      <w:fldChar w:fldCharType="begin"/>
    </w:r>
    <w:r>
      <w:rPr>
        <w:rFonts w:ascii="Times New Roman" w:hAnsi="Times New Roman"/>
      </w:rPr>
      <w:instrText xml:space="preserve"> NUMPAGES </w:instrText>
    </w:r>
    <w:r w:rsidR="00313DDF">
      <w:rPr>
        <w:rFonts w:ascii="Times New Roman" w:hAnsi="Times New Roman"/>
      </w:rPr>
      <w:fldChar w:fldCharType="separate"/>
    </w:r>
    <w:r w:rsidR="00EF3CB0">
      <w:rPr>
        <w:rFonts w:ascii="Times New Roman" w:hAnsi="Times New Roman"/>
        <w:noProof/>
      </w:rPr>
      <w:t>7</w:t>
    </w:r>
    <w:r w:rsidR="00313DDF">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E53" w:rsidRDefault="00206E53" w:rsidP="005652AC">
      <w:pPr>
        <w:spacing w:after="0" w:line="240" w:lineRule="auto"/>
      </w:pPr>
      <w:r>
        <w:separator/>
      </w:r>
    </w:p>
  </w:footnote>
  <w:footnote w:type="continuationSeparator" w:id="0">
    <w:p w:rsidR="00206E53" w:rsidRDefault="00206E53" w:rsidP="005652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F85513" w:rsidRDefault="00BF21ED" w:rsidP="00EB5D8A">
    <w:pPr>
      <w:pStyle w:val="En-tte"/>
      <w:pBdr>
        <w:bottom w:val="single" w:sz="12" w:space="1" w:color="auto"/>
      </w:pBdr>
      <w:jc w:val="right"/>
      <w:rPr>
        <w:rFonts w:ascii="Times New Roman" w:hAnsi="Times New Roman"/>
        <w:sz w:val="16"/>
        <w:szCs w:val="16"/>
      </w:rPr>
    </w:pPr>
    <w:r>
      <w:rPr>
        <w:rFonts w:ascii="Times New Roman" w:hAnsi="Times New Roman"/>
        <w:sz w:val="16"/>
        <w:szCs w:val="16"/>
      </w:rPr>
      <w:t>Comment devenons-nous des acteurs sociaux</w:t>
    </w:r>
    <w:r w:rsidR="00555572">
      <w:rPr>
        <w:rFonts w:ascii="Times New Roman" w:hAnsi="Times New Roman"/>
        <w:sz w:val="16"/>
        <w:szCs w:val="16"/>
      </w:rPr>
      <w:t> ?</w:t>
    </w:r>
    <w:r w:rsidRPr="00F85513">
      <w:rPr>
        <w:rFonts w:ascii="Times New Roman" w:hAnsi="Times New Roman"/>
        <w:sz w:val="16"/>
        <w:szCs w:val="16"/>
      </w:rPr>
      <w:t xml:space="preserve"> – </w:t>
    </w:r>
    <w:r w:rsidR="005652AC">
      <w:rPr>
        <w:rFonts w:ascii="Times New Roman" w:hAnsi="Times New Roman"/>
        <w:sz w:val="16"/>
        <w:szCs w:val="16"/>
      </w:rPr>
      <w:t>La socialisation différenciée</w:t>
    </w:r>
    <w:r w:rsidRPr="00F85513">
      <w:rPr>
        <w:rFonts w:ascii="Times New Roman" w:hAnsi="Times New Roman"/>
        <w:sz w:val="16"/>
        <w:szCs w:val="16"/>
      </w:rPr>
      <w:t xml:space="preserve"> (</w:t>
    </w:r>
    <w:r w:rsidR="005652AC">
      <w:rPr>
        <w:rFonts w:ascii="Times New Roman" w:hAnsi="Times New Roman"/>
        <w:sz w:val="16"/>
        <w:szCs w:val="16"/>
      </w:rPr>
      <w:t>3</w:t>
    </w:r>
    <w:r w:rsidRPr="00F85513">
      <w:rPr>
        <w:rFonts w:ascii="Times New Roman" w:hAnsi="Times New Roman"/>
        <w:sz w:val="16"/>
        <w:szCs w:val="16"/>
      </w:rPr>
      <w:t>/</w:t>
    </w:r>
    <w:r>
      <w:rPr>
        <w:rFonts w:ascii="Times New Roman" w:hAnsi="Times New Roman"/>
        <w:sz w:val="16"/>
        <w:szCs w:val="16"/>
      </w:rPr>
      <w:t>3</w:t>
    </w:r>
    <w:r w:rsidRPr="00F85513">
      <w:rPr>
        <w:rFonts w:ascii="Times New Roman" w:hAnsi="Times New Roman"/>
        <w:sz w:val="16"/>
        <w:szCs w:val="16"/>
      </w:rPr>
      <w:t xml:space="preserve">) - Page </w:t>
    </w:r>
    <w:r w:rsidR="00313DDF" w:rsidRPr="00F85513">
      <w:rPr>
        <w:rFonts w:ascii="Times New Roman" w:hAnsi="Times New Roman"/>
        <w:sz w:val="16"/>
        <w:szCs w:val="16"/>
      </w:rPr>
      <w:fldChar w:fldCharType="begin"/>
    </w:r>
    <w:r w:rsidRPr="00F85513">
      <w:rPr>
        <w:rFonts w:ascii="Times New Roman" w:hAnsi="Times New Roman"/>
        <w:sz w:val="16"/>
        <w:szCs w:val="16"/>
      </w:rPr>
      <w:instrText xml:space="preserve"> PAGE </w:instrText>
    </w:r>
    <w:r w:rsidR="00313DDF" w:rsidRPr="00F85513">
      <w:rPr>
        <w:rFonts w:ascii="Times New Roman" w:hAnsi="Times New Roman"/>
        <w:sz w:val="16"/>
        <w:szCs w:val="16"/>
      </w:rPr>
      <w:fldChar w:fldCharType="separate"/>
    </w:r>
    <w:r w:rsidR="00EF3CB0">
      <w:rPr>
        <w:rFonts w:ascii="Times New Roman" w:hAnsi="Times New Roman"/>
        <w:noProof/>
        <w:sz w:val="16"/>
        <w:szCs w:val="16"/>
      </w:rPr>
      <w:t>1</w:t>
    </w:r>
    <w:r w:rsidR="00313DDF" w:rsidRPr="00F85513">
      <w:rPr>
        <w:rFonts w:ascii="Times New Roman" w:hAnsi="Times New Roman"/>
        <w:sz w:val="16"/>
        <w:szCs w:val="16"/>
      </w:rPr>
      <w:fldChar w:fldCharType="end"/>
    </w:r>
    <w:r w:rsidRPr="00F85513">
      <w:rPr>
        <w:rFonts w:ascii="Times New Roman" w:hAnsi="Times New Roman"/>
        <w:sz w:val="16"/>
        <w:szCs w:val="16"/>
      </w:rPr>
      <w:t xml:space="preserve"> sur </w:t>
    </w:r>
    <w:r w:rsidR="00313DDF" w:rsidRPr="00F85513">
      <w:rPr>
        <w:rFonts w:ascii="Times New Roman" w:hAnsi="Times New Roman"/>
        <w:sz w:val="16"/>
        <w:szCs w:val="16"/>
      </w:rPr>
      <w:fldChar w:fldCharType="begin"/>
    </w:r>
    <w:r w:rsidRPr="00F85513">
      <w:rPr>
        <w:rFonts w:ascii="Times New Roman" w:hAnsi="Times New Roman"/>
        <w:sz w:val="16"/>
        <w:szCs w:val="16"/>
      </w:rPr>
      <w:instrText xml:space="preserve"> NUMPAGES </w:instrText>
    </w:r>
    <w:r w:rsidR="00313DDF" w:rsidRPr="00F85513">
      <w:rPr>
        <w:rFonts w:ascii="Times New Roman" w:hAnsi="Times New Roman"/>
        <w:sz w:val="16"/>
        <w:szCs w:val="16"/>
      </w:rPr>
      <w:fldChar w:fldCharType="separate"/>
    </w:r>
    <w:r w:rsidR="00EF3CB0">
      <w:rPr>
        <w:rFonts w:ascii="Times New Roman" w:hAnsi="Times New Roman"/>
        <w:noProof/>
        <w:sz w:val="16"/>
        <w:szCs w:val="16"/>
      </w:rPr>
      <w:t>7</w:t>
    </w:r>
    <w:r w:rsidR="00313DDF" w:rsidRPr="00F85513">
      <w:rPr>
        <w:rFonts w:ascii="Times New Roman" w:hAnsi="Times New Roman"/>
        <w:sz w:val="16"/>
        <w:szCs w:val="16"/>
      </w:rPr>
      <w:fldChar w:fldCharType="end"/>
    </w:r>
  </w:p>
  <w:p w:rsidR="00AA79FF" w:rsidRDefault="00206E53"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006B"/>
    <w:multiLevelType w:val="hybridMultilevel"/>
    <w:tmpl w:val="51C0B94A"/>
    <w:lvl w:ilvl="0" w:tplc="CF1E28FA">
      <w:start w:val="1"/>
      <w:numFmt w:val="decimal"/>
      <w:lvlText w:val="(%1)"/>
      <w:lvlJc w:val="left"/>
      <w:pPr>
        <w:ind w:left="375" w:hanging="37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A144744"/>
    <w:multiLevelType w:val="hybridMultilevel"/>
    <w:tmpl w:val="83886E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923E6E"/>
    <w:multiLevelType w:val="hybridMultilevel"/>
    <w:tmpl w:val="62966BF8"/>
    <w:lvl w:ilvl="0" w:tplc="040C000F">
      <w:start w:val="1"/>
      <w:numFmt w:val="decimal"/>
      <w:lvlText w:val="%1."/>
      <w:lvlJc w:val="left"/>
      <w:pPr>
        <w:ind w:left="750" w:hanging="375"/>
      </w:pPr>
      <w:rPr>
        <w:rFonts w:hint="default"/>
      </w:rPr>
    </w:lvl>
    <w:lvl w:ilvl="1" w:tplc="040C0019" w:tentative="1">
      <w:start w:val="1"/>
      <w:numFmt w:val="lowerLetter"/>
      <w:lvlText w:val="%2."/>
      <w:lvlJc w:val="left"/>
      <w:pPr>
        <w:ind w:left="1815" w:hanging="360"/>
      </w:pPr>
    </w:lvl>
    <w:lvl w:ilvl="2" w:tplc="040C001B" w:tentative="1">
      <w:start w:val="1"/>
      <w:numFmt w:val="lowerRoman"/>
      <w:lvlText w:val="%3."/>
      <w:lvlJc w:val="right"/>
      <w:pPr>
        <w:ind w:left="2535" w:hanging="180"/>
      </w:pPr>
    </w:lvl>
    <w:lvl w:ilvl="3" w:tplc="040C000F" w:tentative="1">
      <w:start w:val="1"/>
      <w:numFmt w:val="decimal"/>
      <w:lvlText w:val="%4."/>
      <w:lvlJc w:val="left"/>
      <w:pPr>
        <w:ind w:left="3255" w:hanging="360"/>
      </w:pPr>
    </w:lvl>
    <w:lvl w:ilvl="4" w:tplc="040C0019" w:tentative="1">
      <w:start w:val="1"/>
      <w:numFmt w:val="lowerLetter"/>
      <w:lvlText w:val="%5."/>
      <w:lvlJc w:val="left"/>
      <w:pPr>
        <w:ind w:left="3975" w:hanging="360"/>
      </w:pPr>
    </w:lvl>
    <w:lvl w:ilvl="5" w:tplc="040C001B" w:tentative="1">
      <w:start w:val="1"/>
      <w:numFmt w:val="lowerRoman"/>
      <w:lvlText w:val="%6."/>
      <w:lvlJc w:val="right"/>
      <w:pPr>
        <w:ind w:left="4695" w:hanging="180"/>
      </w:pPr>
    </w:lvl>
    <w:lvl w:ilvl="6" w:tplc="040C000F" w:tentative="1">
      <w:start w:val="1"/>
      <w:numFmt w:val="decimal"/>
      <w:lvlText w:val="%7."/>
      <w:lvlJc w:val="left"/>
      <w:pPr>
        <w:ind w:left="5415" w:hanging="360"/>
      </w:pPr>
    </w:lvl>
    <w:lvl w:ilvl="7" w:tplc="040C0019" w:tentative="1">
      <w:start w:val="1"/>
      <w:numFmt w:val="lowerLetter"/>
      <w:lvlText w:val="%8."/>
      <w:lvlJc w:val="left"/>
      <w:pPr>
        <w:ind w:left="6135" w:hanging="360"/>
      </w:pPr>
    </w:lvl>
    <w:lvl w:ilvl="8" w:tplc="040C001B" w:tentative="1">
      <w:start w:val="1"/>
      <w:numFmt w:val="lowerRoman"/>
      <w:lvlText w:val="%9."/>
      <w:lvlJc w:val="right"/>
      <w:pPr>
        <w:ind w:left="6855" w:hanging="180"/>
      </w:pPr>
    </w:lvl>
  </w:abstractNum>
  <w:abstractNum w:abstractNumId="3">
    <w:nsid w:val="0F4032BC"/>
    <w:multiLevelType w:val="hybridMultilevel"/>
    <w:tmpl w:val="482C43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CC24DF"/>
    <w:multiLevelType w:val="hybridMultilevel"/>
    <w:tmpl w:val="7AA470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22345E"/>
    <w:multiLevelType w:val="hybridMultilevel"/>
    <w:tmpl w:val="74E03B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C720CC"/>
    <w:multiLevelType w:val="hybridMultilevel"/>
    <w:tmpl w:val="BE180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D567E56"/>
    <w:multiLevelType w:val="hybridMultilevel"/>
    <w:tmpl w:val="0156A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207B5A"/>
    <w:multiLevelType w:val="hybridMultilevel"/>
    <w:tmpl w:val="1B62EA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2734E6C"/>
    <w:multiLevelType w:val="hybridMultilevel"/>
    <w:tmpl w:val="A066D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2D45EE9"/>
    <w:multiLevelType w:val="hybridMultilevel"/>
    <w:tmpl w:val="C082B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41F62E9"/>
    <w:multiLevelType w:val="hybridMultilevel"/>
    <w:tmpl w:val="51C0B94A"/>
    <w:lvl w:ilvl="0" w:tplc="CF1E28FA">
      <w:start w:val="1"/>
      <w:numFmt w:val="decimal"/>
      <w:lvlText w:val="(%1)"/>
      <w:lvlJc w:val="left"/>
      <w:pPr>
        <w:ind w:left="375" w:hanging="37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60B41351"/>
    <w:multiLevelType w:val="hybridMultilevel"/>
    <w:tmpl w:val="617C35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13E5743"/>
    <w:multiLevelType w:val="hybridMultilevel"/>
    <w:tmpl w:val="D3FAC8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6022363"/>
    <w:multiLevelType w:val="hybridMultilevel"/>
    <w:tmpl w:val="890029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0A70D08"/>
    <w:multiLevelType w:val="hybridMultilevel"/>
    <w:tmpl w:val="4CACF3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8"/>
  </w:num>
  <w:num w:numId="3">
    <w:abstractNumId w:val="12"/>
  </w:num>
  <w:num w:numId="4">
    <w:abstractNumId w:val="4"/>
  </w:num>
  <w:num w:numId="5">
    <w:abstractNumId w:val="13"/>
  </w:num>
  <w:num w:numId="6">
    <w:abstractNumId w:val="0"/>
  </w:num>
  <w:num w:numId="7">
    <w:abstractNumId w:val="2"/>
  </w:num>
  <w:num w:numId="8">
    <w:abstractNumId w:val="14"/>
  </w:num>
  <w:num w:numId="9">
    <w:abstractNumId w:val="11"/>
  </w:num>
  <w:num w:numId="10">
    <w:abstractNumId w:val="9"/>
  </w:num>
  <w:num w:numId="11">
    <w:abstractNumId w:val="3"/>
  </w:num>
  <w:num w:numId="12">
    <w:abstractNumId w:val="10"/>
  </w:num>
  <w:num w:numId="13">
    <w:abstractNumId w:val="5"/>
  </w:num>
  <w:num w:numId="14">
    <w:abstractNumId w:val="7"/>
  </w:num>
  <w:num w:numId="15">
    <w:abstractNumId w:val="6"/>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0B5854"/>
    <w:rsid w:val="000B5854"/>
    <w:rsid w:val="001023E9"/>
    <w:rsid w:val="00206E53"/>
    <w:rsid w:val="00293153"/>
    <w:rsid w:val="00313DDF"/>
    <w:rsid w:val="004204C5"/>
    <w:rsid w:val="00494E60"/>
    <w:rsid w:val="004C7D77"/>
    <w:rsid w:val="00555572"/>
    <w:rsid w:val="00564FCB"/>
    <w:rsid w:val="005652AC"/>
    <w:rsid w:val="0062651A"/>
    <w:rsid w:val="0090468F"/>
    <w:rsid w:val="00A27393"/>
    <w:rsid w:val="00BF21ED"/>
    <w:rsid w:val="00D8094C"/>
    <w:rsid w:val="00DA2B09"/>
    <w:rsid w:val="00E1672B"/>
    <w:rsid w:val="00E6680C"/>
    <w:rsid w:val="00EF3CB0"/>
    <w:rsid w:val="00EF51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54"/>
    <w:pPr>
      <w:jc w:val="both"/>
    </w:pPr>
    <w:rPr>
      <w:rFonts w:ascii="Calibri" w:eastAsia="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B5854"/>
    <w:pPr>
      <w:spacing w:after="0" w:line="240" w:lineRule="auto"/>
    </w:pPr>
    <w:rPr>
      <w:rFonts w:ascii="Calibri Light" w:eastAsia="Calibri" w:hAnsi="Calibri Light" w:cs="Times New Roman"/>
      <w:b/>
      <w:noProof/>
      <w:color w:val="000000" w:themeColor="text1"/>
      <w:sz w:val="24"/>
      <w:szCs w:val="24"/>
      <w:lang w:eastAsia="fr-FR"/>
    </w:rPr>
  </w:style>
  <w:style w:type="table" w:styleId="Grilledutableau">
    <w:name w:val="Table Grid"/>
    <w:basedOn w:val="TableauNormal"/>
    <w:uiPriority w:val="59"/>
    <w:rsid w:val="000B585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B5854"/>
    <w:pPr>
      <w:ind w:left="720"/>
      <w:contextualSpacing/>
    </w:pPr>
    <w:rPr>
      <w:rFonts w:ascii="Times New Roman" w:hAnsi="Times New Roman"/>
    </w:rPr>
  </w:style>
  <w:style w:type="character" w:styleId="Lienhypertexte">
    <w:name w:val="Hyperlink"/>
    <w:basedOn w:val="Policepardfaut"/>
    <w:uiPriority w:val="99"/>
    <w:unhideWhenUsed/>
    <w:rsid w:val="000B5854"/>
    <w:rPr>
      <w:color w:val="0000FF" w:themeColor="hyperlink"/>
      <w:u w:val="single"/>
    </w:rPr>
  </w:style>
  <w:style w:type="paragraph" w:styleId="En-tte">
    <w:name w:val="header"/>
    <w:basedOn w:val="Normal"/>
    <w:link w:val="En-tteCar"/>
    <w:uiPriority w:val="99"/>
    <w:unhideWhenUsed/>
    <w:rsid w:val="000B5854"/>
    <w:pPr>
      <w:tabs>
        <w:tab w:val="center" w:pos="4536"/>
        <w:tab w:val="right" w:pos="9072"/>
      </w:tabs>
      <w:spacing w:after="0" w:line="240" w:lineRule="auto"/>
    </w:pPr>
  </w:style>
  <w:style w:type="character" w:customStyle="1" w:styleId="En-tteCar">
    <w:name w:val="En-tête Car"/>
    <w:basedOn w:val="Policepardfaut"/>
    <w:link w:val="En-tte"/>
    <w:uiPriority w:val="99"/>
    <w:rsid w:val="000B5854"/>
    <w:rPr>
      <w:rFonts w:ascii="Calibri" w:eastAsia="Calibri" w:hAnsi="Calibri" w:cs="Times New Roman"/>
      <w:sz w:val="20"/>
    </w:rPr>
  </w:style>
  <w:style w:type="paragraph" w:styleId="Pieddepage">
    <w:name w:val="footer"/>
    <w:basedOn w:val="Normal"/>
    <w:link w:val="PieddepageCar"/>
    <w:uiPriority w:val="99"/>
    <w:unhideWhenUsed/>
    <w:rsid w:val="000B58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5854"/>
    <w:rPr>
      <w:rFonts w:ascii="Calibri" w:eastAsia="Calibri" w:hAnsi="Calibri" w:cs="Times New Roman"/>
      <w:sz w:val="20"/>
    </w:rPr>
  </w:style>
  <w:style w:type="character" w:customStyle="1" w:styleId="fontstyle01">
    <w:name w:val="fontstyle01"/>
    <w:basedOn w:val="Policepardfaut"/>
    <w:rsid w:val="000B5854"/>
    <w:rPr>
      <w:rFonts w:ascii="Frutiger-Light" w:hAnsi="Frutiger-Light" w:hint="default"/>
      <w:b w:val="0"/>
      <w:bCs w:val="0"/>
      <w:i w:val="0"/>
      <w:iCs w:val="0"/>
      <w:color w:val="242021"/>
      <w:sz w:val="20"/>
      <w:szCs w:val="20"/>
    </w:rPr>
  </w:style>
  <w:style w:type="paragraph" w:styleId="NormalWeb">
    <w:name w:val="Normal (Web)"/>
    <w:basedOn w:val="Normal"/>
    <w:uiPriority w:val="99"/>
    <w:semiHidden/>
    <w:unhideWhenUsed/>
    <w:rsid w:val="000B5854"/>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lev">
    <w:name w:val="Strong"/>
    <w:basedOn w:val="Policepardfaut"/>
    <w:uiPriority w:val="22"/>
    <w:qFormat/>
    <w:rsid w:val="000B5854"/>
    <w:rPr>
      <w:b/>
      <w:bCs/>
    </w:rPr>
  </w:style>
  <w:style w:type="paragraph" w:styleId="Textedebulles">
    <w:name w:val="Balloon Text"/>
    <w:basedOn w:val="Normal"/>
    <w:link w:val="TextedebullesCar"/>
    <w:uiPriority w:val="99"/>
    <w:semiHidden/>
    <w:unhideWhenUsed/>
    <w:rsid w:val="005652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52A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cid58535/series-chronologiques-de-donnees-statistiques-sur-le-systeme-educatif.html"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www.insee.fr/fr/statistiques/fichier/3595056/eec17_SL_t205.xls" TargetMode="External"/><Relationship Id="rId17" Type="http://schemas.openxmlformats.org/officeDocument/2006/relationships/hyperlink" Target="http://www.insee.fr/fr/themes/document.asp?reg_id=0&amp;ref_id=ECO478D" TargetMode="External"/><Relationship Id="rId2" Type="http://schemas.openxmlformats.org/officeDocument/2006/relationships/styles" Target="styles.xml"/><Relationship Id="rId16" Type="http://schemas.openxmlformats.org/officeDocument/2006/relationships/hyperlink" Target="http://www.insee.fr/fr/publications-et-services/sommaire.asp?reg_id=0&amp;ref_id=ECO47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ee.fr/fr/statistiques/3595056?sommaire=3541412&amp;q=enqu%C3%AAte+emploi" TargetMode="External"/><Relationship Id="rId5" Type="http://schemas.openxmlformats.org/officeDocument/2006/relationships/footnotes" Target="footnotes.xml"/><Relationship Id="rId15" Type="http://schemas.openxmlformats.org/officeDocument/2006/relationships/hyperlink" Target="http://cache.media.education.gouv.fr/file/etat27-2017/41/4/DEPP-EE-2017-etat-ecole-2017_844414.pdf" TargetMode="Externa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ache.media.education.gouv.fr/file/2018/57/7/depp-serie-chrono-re-reussite-baccalaureat_1044577.xls" TargetMode="External"/><Relationship Id="rId14" Type="http://schemas.openxmlformats.org/officeDocument/2006/relationships/hyperlink" Target="http://www.education.gouv.fr/cid57102/l-etat-de-l-ecole-2017.-couts-activites-resultats.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233;l&#232;ne\Desktop\Cours%20invers&#233;s\Seconde\Chapitre%204\c4_c_doc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233;l&#232;ne\Desktop\Cours%20invers&#233;s\Seconde\Chapitre%204\c4_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
  <c:chart>
    <c:title>
      <c:tx>
        <c:rich>
          <a:bodyPr rot="0" spcFirstLastPara="1" vertOverflow="ellipsis" vert="horz" wrap="square" anchor="ctr" anchorCtr="1"/>
          <a:lstStyle/>
          <a:p>
            <a:pPr>
              <a:defRPr sz="600" b="1" i="0" u="none" strike="noStrike" kern="1200" cap="all" spc="120" normalizeH="0" baseline="0">
                <a:solidFill>
                  <a:schemeClr val="tx1">
                    <a:lumMod val="65000"/>
                    <a:lumOff val="35000"/>
                  </a:schemeClr>
                </a:solidFill>
                <a:latin typeface="+mn-lt"/>
                <a:ea typeface="+mn-ea"/>
                <a:cs typeface="+mn-cs"/>
              </a:defRPr>
            </a:pPr>
            <a:r>
              <a:rPr lang="en-US"/>
              <a:t>Proportion de bachelières par série</a:t>
            </a:r>
          </a:p>
        </c:rich>
      </c:tx>
      <c:spPr>
        <a:noFill/>
        <a:ln>
          <a:noFill/>
        </a:ln>
        <a:effectLst/>
      </c:spPr>
    </c:title>
    <c:plotArea>
      <c:layout/>
      <c:lineChart>
        <c:grouping val="standard"/>
        <c:ser>
          <c:idx val="0"/>
          <c:order val="0"/>
          <c:tx>
            <c:strRef>
              <c:f>'Part filles'!$C$31</c:f>
              <c:strCache>
                <c:ptCount val="1"/>
                <c:pt idx="0">
                  <c:v>S</c:v>
                </c:pt>
              </c:strCache>
            </c:strRef>
          </c:tx>
          <c:spPr>
            <a:ln w="22225" cap="rnd">
              <a:solidFill>
                <a:schemeClr val="dk1">
                  <a:tint val="88500"/>
                </a:schemeClr>
              </a:solidFill>
              <a:round/>
            </a:ln>
            <a:effectLst/>
          </c:spPr>
          <c:marker>
            <c:symbol val="diamond"/>
            <c:size val="6"/>
            <c:spPr>
              <a:solidFill>
                <a:schemeClr val="dk1">
                  <a:tint val="88500"/>
                </a:schemeClr>
              </a:solidFill>
              <a:ln w="9525">
                <a:solidFill>
                  <a:schemeClr val="dk1">
                    <a:tint val="88500"/>
                  </a:schemeClr>
                </a:solidFill>
                <a:round/>
              </a:ln>
              <a:effectLst/>
            </c:spPr>
          </c:marker>
          <c:cat>
            <c:strRef>
              <c:f>'Part filles'!$D$30:$Z$30</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'Part filles'!$D$31:$Z$31</c:f>
              <c:numCache>
                <c:formatCode>0.0</c:formatCode>
                <c:ptCount val="23"/>
                <c:pt idx="0">
                  <c:v>41.500097100646485</c:v>
                </c:pt>
                <c:pt idx="1">
                  <c:v>42.044833668961424</c:v>
                </c:pt>
                <c:pt idx="2">
                  <c:v>43.103075704098536</c:v>
                </c:pt>
                <c:pt idx="3">
                  <c:v>43.253720430762598</c:v>
                </c:pt>
                <c:pt idx="4">
                  <c:v>43.860306165441628</c:v>
                </c:pt>
                <c:pt idx="5">
                  <c:v>44.21131454916528</c:v>
                </c:pt>
                <c:pt idx="6">
                  <c:v>44.537436933985013</c:v>
                </c:pt>
                <c:pt idx="7">
                  <c:v>45.621969667584644</c:v>
                </c:pt>
                <c:pt idx="8">
                  <c:v>46.188337494644408</c:v>
                </c:pt>
                <c:pt idx="9">
                  <c:v>46.296026108658111</c:v>
                </c:pt>
                <c:pt idx="10">
                  <c:v>46.583428917933595</c:v>
                </c:pt>
                <c:pt idx="11">
                  <c:v>46.151844471379228</c:v>
                </c:pt>
                <c:pt idx="12">
                  <c:v>47.323649106940991</c:v>
                </c:pt>
                <c:pt idx="13">
                  <c:v>46.742567558237397</c:v>
                </c:pt>
                <c:pt idx="14">
                  <c:v>46.990863860069595</c:v>
                </c:pt>
                <c:pt idx="15">
                  <c:v>46.489622117540513</c:v>
                </c:pt>
                <c:pt idx="16">
                  <c:v>46.284116500575145</c:v>
                </c:pt>
                <c:pt idx="17">
                  <c:v>45.708623843482407</c:v>
                </c:pt>
                <c:pt idx="18">
                  <c:v>46.163239605925163</c:v>
                </c:pt>
                <c:pt idx="19">
                  <c:v>46.734422066767905</c:v>
                </c:pt>
                <c:pt idx="20">
                  <c:v>47.308540737543758</c:v>
                </c:pt>
                <c:pt idx="21">
                  <c:v>47.614264188849795</c:v>
                </c:pt>
                <c:pt idx="22">
                  <c:v>47.294662786426692</c:v>
                </c:pt>
              </c:numCache>
            </c:numRef>
          </c:val>
          <c:extLst xmlns:c16r2="http://schemas.microsoft.com/office/drawing/2015/06/chart">
            <c:ext xmlns:c16="http://schemas.microsoft.com/office/drawing/2014/chart" uri="{C3380CC4-5D6E-409C-BE32-E72D297353CC}">
              <c16:uniqueId val="{00000000-851E-4BBC-8231-850025998FDA}"/>
            </c:ext>
          </c:extLst>
        </c:ser>
        <c:ser>
          <c:idx val="1"/>
          <c:order val="1"/>
          <c:tx>
            <c:strRef>
              <c:f>'Part filles'!$C$32</c:f>
              <c:strCache>
                <c:ptCount val="1"/>
                <c:pt idx="0">
                  <c:v>ES</c:v>
                </c:pt>
              </c:strCache>
            </c:strRef>
          </c:tx>
          <c:spPr>
            <a:ln w="22225" cap="rnd">
              <a:solidFill>
                <a:schemeClr val="dk1">
                  <a:tint val="55000"/>
                </a:schemeClr>
              </a:solidFill>
              <a:round/>
            </a:ln>
            <a:effectLst/>
          </c:spPr>
          <c:marker>
            <c:symbol val="square"/>
            <c:size val="6"/>
            <c:spPr>
              <a:solidFill>
                <a:schemeClr val="dk1">
                  <a:tint val="55000"/>
                </a:schemeClr>
              </a:solidFill>
              <a:ln w="9525">
                <a:solidFill>
                  <a:schemeClr val="dk1">
                    <a:tint val="55000"/>
                  </a:schemeClr>
                </a:solidFill>
                <a:round/>
              </a:ln>
              <a:effectLst/>
            </c:spPr>
          </c:marker>
          <c:cat>
            <c:strRef>
              <c:f>'Part filles'!$D$30:$Z$30</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'Part filles'!$D$32:$Z$32</c:f>
              <c:numCache>
                <c:formatCode>0.0</c:formatCode>
                <c:ptCount val="23"/>
                <c:pt idx="0">
                  <c:v>62.037750636797071</c:v>
                </c:pt>
                <c:pt idx="1">
                  <c:v>61.922607509512424</c:v>
                </c:pt>
                <c:pt idx="2">
                  <c:v>61.700143278094679</c:v>
                </c:pt>
                <c:pt idx="3">
                  <c:v>62.281733828916813</c:v>
                </c:pt>
                <c:pt idx="4">
                  <c:v>62.523100480490008</c:v>
                </c:pt>
                <c:pt idx="5">
                  <c:v>64.10045286125964</c:v>
                </c:pt>
                <c:pt idx="6">
                  <c:v>64.552936031487079</c:v>
                </c:pt>
                <c:pt idx="7">
                  <c:v>65.731254827966126</c:v>
                </c:pt>
                <c:pt idx="8">
                  <c:v>65.58198055953028</c:v>
                </c:pt>
                <c:pt idx="9">
                  <c:v>65.446535941296446</c:v>
                </c:pt>
                <c:pt idx="10">
                  <c:v>64.491131193373633</c:v>
                </c:pt>
                <c:pt idx="11">
                  <c:v>63.974873495026969</c:v>
                </c:pt>
                <c:pt idx="12">
                  <c:v>63.79795028443683</c:v>
                </c:pt>
                <c:pt idx="13">
                  <c:v>63.524694944799535</c:v>
                </c:pt>
                <c:pt idx="14">
                  <c:v>62.993831936860261</c:v>
                </c:pt>
                <c:pt idx="15">
                  <c:v>62.302199047834961</c:v>
                </c:pt>
                <c:pt idx="16">
                  <c:v>62.077793020015335</c:v>
                </c:pt>
                <c:pt idx="17">
                  <c:v>62.04505886254352</c:v>
                </c:pt>
                <c:pt idx="18">
                  <c:v>61.368682786071759</c:v>
                </c:pt>
                <c:pt idx="19">
                  <c:v>61.570103092783498</c:v>
                </c:pt>
                <c:pt idx="20">
                  <c:v>60.89178955759251</c:v>
                </c:pt>
                <c:pt idx="21">
                  <c:v>61.101013733513454</c:v>
                </c:pt>
                <c:pt idx="22">
                  <c:v>60.629236759116246</c:v>
                </c:pt>
              </c:numCache>
            </c:numRef>
          </c:val>
          <c:extLst xmlns:c16r2="http://schemas.microsoft.com/office/drawing/2015/06/chart">
            <c:ext xmlns:c16="http://schemas.microsoft.com/office/drawing/2014/chart" uri="{C3380CC4-5D6E-409C-BE32-E72D297353CC}">
              <c16:uniqueId val="{00000001-851E-4BBC-8231-850025998FDA}"/>
            </c:ext>
          </c:extLst>
        </c:ser>
        <c:ser>
          <c:idx val="2"/>
          <c:order val="2"/>
          <c:tx>
            <c:strRef>
              <c:f>'Part filles'!$C$33</c:f>
              <c:strCache>
                <c:ptCount val="1"/>
                <c:pt idx="0">
                  <c:v>L</c:v>
                </c:pt>
              </c:strCache>
            </c:strRef>
          </c:tx>
          <c:spPr>
            <a:ln w="22225" cap="rnd">
              <a:solidFill>
                <a:schemeClr val="dk1">
                  <a:tint val="75000"/>
                </a:schemeClr>
              </a:solidFill>
              <a:round/>
            </a:ln>
            <a:effectLst/>
          </c:spPr>
          <c:marker>
            <c:symbol val="triangle"/>
            <c:size val="6"/>
            <c:spPr>
              <a:solidFill>
                <a:schemeClr val="dk1">
                  <a:tint val="75000"/>
                </a:schemeClr>
              </a:solidFill>
              <a:ln w="9525">
                <a:solidFill>
                  <a:schemeClr val="dk1">
                    <a:tint val="75000"/>
                  </a:schemeClr>
                </a:solidFill>
                <a:round/>
              </a:ln>
              <a:effectLst/>
            </c:spPr>
          </c:marker>
          <c:cat>
            <c:strRef>
              <c:f>'Part filles'!$D$30:$Z$30</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'Part filles'!$D$33:$Z$33</c:f>
              <c:numCache>
                <c:formatCode>0.0</c:formatCode>
                <c:ptCount val="23"/>
                <c:pt idx="0">
                  <c:v>80.692695214105782</c:v>
                </c:pt>
                <c:pt idx="1">
                  <c:v>81.122692790155725</c:v>
                </c:pt>
                <c:pt idx="2">
                  <c:v>81.901371194898388</c:v>
                </c:pt>
                <c:pt idx="3">
                  <c:v>82.217424692467219</c:v>
                </c:pt>
                <c:pt idx="4">
                  <c:v>82.560171896797655</c:v>
                </c:pt>
                <c:pt idx="5">
                  <c:v>82.555916971261851</c:v>
                </c:pt>
                <c:pt idx="6">
                  <c:v>83.037778130679285</c:v>
                </c:pt>
                <c:pt idx="7">
                  <c:v>83.577106518282989</c:v>
                </c:pt>
                <c:pt idx="8">
                  <c:v>83.280982020696328</c:v>
                </c:pt>
                <c:pt idx="9">
                  <c:v>82.917155692258035</c:v>
                </c:pt>
                <c:pt idx="10">
                  <c:v>82.378524901889378</c:v>
                </c:pt>
                <c:pt idx="11">
                  <c:v>81.516774295164581</c:v>
                </c:pt>
                <c:pt idx="12">
                  <c:v>80.745540998736033</c:v>
                </c:pt>
                <c:pt idx="13">
                  <c:v>80.444581028477884</c:v>
                </c:pt>
                <c:pt idx="14">
                  <c:v>79.327959803203186</c:v>
                </c:pt>
                <c:pt idx="15">
                  <c:v>79.309288278035538</c:v>
                </c:pt>
                <c:pt idx="16">
                  <c:v>79.378487461679157</c:v>
                </c:pt>
                <c:pt idx="17">
                  <c:v>79.617711001571351</c:v>
                </c:pt>
                <c:pt idx="18">
                  <c:v>79.955518487628581</c:v>
                </c:pt>
                <c:pt idx="19">
                  <c:v>79.579504490425279</c:v>
                </c:pt>
                <c:pt idx="20">
                  <c:v>79.420493282534579</c:v>
                </c:pt>
                <c:pt idx="21">
                  <c:v>80.144779691607496</c:v>
                </c:pt>
                <c:pt idx="22">
                  <c:v>80.023946178113889</c:v>
                </c:pt>
              </c:numCache>
            </c:numRef>
          </c:val>
          <c:extLst xmlns:c16r2="http://schemas.microsoft.com/office/drawing/2015/06/chart">
            <c:ext xmlns:c16="http://schemas.microsoft.com/office/drawing/2014/chart" uri="{C3380CC4-5D6E-409C-BE32-E72D297353CC}">
              <c16:uniqueId val="{00000002-851E-4BBC-8231-850025998FDA}"/>
            </c:ext>
          </c:extLst>
        </c:ser>
        <c:ser>
          <c:idx val="3"/>
          <c:order val="3"/>
          <c:tx>
            <c:strRef>
              <c:f>'Part filles'!$C$34</c:f>
              <c:strCache>
                <c:ptCount val="1"/>
                <c:pt idx="0">
                  <c:v>STI2D/ STI hors AA (1)</c:v>
                </c:pt>
              </c:strCache>
            </c:strRef>
          </c:tx>
          <c:spPr>
            <a:ln w="22225" cap="rnd">
              <a:solidFill>
                <a:schemeClr val="dk1">
                  <a:tint val="98500"/>
                </a:schemeClr>
              </a:solidFill>
              <a:round/>
            </a:ln>
            <a:effectLst/>
          </c:spPr>
          <c:marker>
            <c:symbol val="x"/>
            <c:size val="6"/>
            <c:spPr>
              <a:noFill/>
              <a:ln w="9525">
                <a:solidFill>
                  <a:schemeClr val="dk1">
                    <a:tint val="98500"/>
                  </a:schemeClr>
                </a:solidFill>
                <a:round/>
              </a:ln>
              <a:effectLst/>
            </c:spPr>
          </c:marker>
          <c:cat>
            <c:strRef>
              <c:f>'Part filles'!$D$30:$Z$30</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'Part filles'!$D$34:$Z$34</c:f>
              <c:numCache>
                <c:formatCode>0.0</c:formatCode>
                <c:ptCount val="23"/>
                <c:pt idx="0">
                  <c:v>6.4342250843995679</c:v>
                </c:pt>
                <c:pt idx="1">
                  <c:v>6.5635329895544086</c:v>
                </c:pt>
                <c:pt idx="2">
                  <c:v>5.8177570093457831</c:v>
                </c:pt>
                <c:pt idx="3">
                  <c:v>5.27469358327326</c:v>
                </c:pt>
                <c:pt idx="4">
                  <c:v>5.3611510791366834</c:v>
                </c:pt>
                <c:pt idx="5">
                  <c:v>4.9327733461115724</c:v>
                </c:pt>
                <c:pt idx="6">
                  <c:v>5.1570489408327242</c:v>
                </c:pt>
                <c:pt idx="7">
                  <c:v>4.9989159723727745</c:v>
                </c:pt>
                <c:pt idx="8">
                  <c:v>5.0640834575260714</c:v>
                </c:pt>
                <c:pt idx="9">
                  <c:v>5.175046823224319</c:v>
                </c:pt>
                <c:pt idx="10">
                  <c:v>5.278735544503097</c:v>
                </c:pt>
                <c:pt idx="11">
                  <c:v>5.6528612077141949</c:v>
                </c:pt>
                <c:pt idx="12">
                  <c:v>5.5899659337256118</c:v>
                </c:pt>
                <c:pt idx="13">
                  <c:v>6.1275531471446385</c:v>
                </c:pt>
                <c:pt idx="14">
                  <c:v>5.9706778100432114</c:v>
                </c:pt>
                <c:pt idx="15">
                  <c:v>6.1909381624806876</c:v>
                </c:pt>
                <c:pt idx="16">
                  <c:v>5.7346978181116084</c:v>
                </c:pt>
                <c:pt idx="17">
                  <c:v>5.6341473358065945</c:v>
                </c:pt>
                <c:pt idx="18">
                  <c:v>6.4882400648824081</c:v>
                </c:pt>
                <c:pt idx="19">
                  <c:v>7.0799232486196502</c:v>
                </c:pt>
                <c:pt idx="20">
                  <c:v>7.1217725964951617</c:v>
                </c:pt>
                <c:pt idx="21">
                  <c:v>6.6568255307183941</c:v>
                </c:pt>
                <c:pt idx="22">
                  <c:v>7.0894265112204327</c:v>
                </c:pt>
              </c:numCache>
            </c:numRef>
          </c:val>
          <c:extLst xmlns:c16r2="http://schemas.microsoft.com/office/drawing/2015/06/chart">
            <c:ext xmlns:c16="http://schemas.microsoft.com/office/drawing/2014/chart" uri="{C3380CC4-5D6E-409C-BE32-E72D297353CC}">
              <c16:uniqueId val="{00000003-851E-4BBC-8231-850025998FDA}"/>
            </c:ext>
          </c:extLst>
        </c:ser>
        <c:ser>
          <c:idx val="4"/>
          <c:order val="4"/>
          <c:tx>
            <c:strRef>
              <c:f>'Part filles'!$C$35</c:f>
              <c:strCache>
                <c:ptCount val="1"/>
                <c:pt idx="0">
                  <c:v>STMG (ex-STT/STG)</c:v>
                </c:pt>
              </c:strCache>
            </c:strRef>
          </c:tx>
          <c:spPr>
            <a:ln w="22225" cap="rnd">
              <a:solidFill>
                <a:schemeClr val="dk1">
                  <a:tint val="30000"/>
                </a:schemeClr>
              </a:solidFill>
              <a:round/>
            </a:ln>
            <a:effectLst/>
          </c:spPr>
          <c:marker>
            <c:symbol val="star"/>
            <c:size val="6"/>
            <c:spPr>
              <a:noFill/>
              <a:ln w="9525">
                <a:solidFill>
                  <a:schemeClr val="dk1">
                    <a:tint val="30000"/>
                  </a:schemeClr>
                </a:solidFill>
                <a:round/>
              </a:ln>
              <a:effectLst/>
            </c:spPr>
          </c:marker>
          <c:cat>
            <c:strRef>
              <c:f>'Part filles'!$D$30:$Z$30</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'Part filles'!$D$35:$Z$35</c:f>
              <c:numCache>
                <c:formatCode>0.0</c:formatCode>
                <c:ptCount val="23"/>
                <c:pt idx="0">
                  <c:v>65.544514297302996</c:v>
                </c:pt>
                <c:pt idx="1">
                  <c:v>65.249843313771279</c:v>
                </c:pt>
                <c:pt idx="2">
                  <c:v>65.316224661928842</c:v>
                </c:pt>
                <c:pt idx="3">
                  <c:v>65.717143376717956</c:v>
                </c:pt>
                <c:pt idx="4">
                  <c:v>65.779635200966752</c:v>
                </c:pt>
                <c:pt idx="5">
                  <c:v>65.863952031719379</c:v>
                </c:pt>
                <c:pt idx="6">
                  <c:v>65.143105054294409</c:v>
                </c:pt>
                <c:pt idx="7">
                  <c:v>64.361723169429169</c:v>
                </c:pt>
                <c:pt idx="8">
                  <c:v>63.692869720623399</c:v>
                </c:pt>
                <c:pt idx="9">
                  <c:v>63.303369576918925</c:v>
                </c:pt>
                <c:pt idx="10">
                  <c:v>62.441378372867526</c:v>
                </c:pt>
                <c:pt idx="11">
                  <c:v>61.474298114742922</c:v>
                </c:pt>
                <c:pt idx="12">
                  <c:v>58.897532071396192</c:v>
                </c:pt>
                <c:pt idx="13">
                  <c:v>59.01525958587299</c:v>
                </c:pt>
                <c:pt idx="14">
                  <c:v>58.084749256456242</c:v>
                </c:pt>
                <c:pt idx="15">
                  <c:v>58.223476331143551</c:v>
                </c:pt>
                <c:pt idx="16">
                  <c:v>57.211516100525628</c:v>
                </c:pt>
                <c:pt idx="17">
                  <c:v>56.62964551853441</c:v>
                </c:pt>
                <c:pt idx="18">
                  <c:v>55.740789215365474</c:v>
                </c:pt>
                <c:pt idx="19">
                  <c:v>54.646038892614236</c:v>
                </c:pt>
                <c:pt idx="20">
                  <c:v>53.830417137914978</c:v>
                </c:pt>
                <c:pt idx="21">
                  <c:v>53.612186415967024</c:v>
                </c:pt>
                <c:pt idx="22">
                  <c:v>52.16437801545262</c:v>
                </c:pt>
              </c:numCache>
            </c:numRef>
          </c:val>
          <c:extLst xmlns:c16r2="http://schemas.microsoft.com/office/drawing/2015/06/chart">
            <c:ext xmlns:c16="http://schemas.microsoft.com/office/drawing/2014/chart" uri="{C3380CC4-5D6E-409C-BE32-E72D297353CC}">
              <c16:uniqueId val="{00000004-851E-4BBC-8231-850025998FDA}"/>
            </c:ext>
          </c:extLst>
        </c:ser>
        <c:ser>
          <c:idx val="5"/>
          <c:order val="5"/>
          <c:tx>
            <c:strRef>
              <c:f>'Part filles'!$C$36</c:f>
              <c:strCache>
                <c:ptCount val="1"/>
                <c:pt idx="0">
                  <c:v>ST2S (ex-SMS)</c:v>
                </c:pt>
              </c:strCache>
            </c:strRef>
          </c:tx>
          <c:spPr>
            <a:ln w="22225" cap="rnd">
              <a:solidFill>
                <a:schemeClr val="dk1">
                  <a:tint val="60000"/>
                </a:schemeClr>
              </a:solidFill>
              <a:round/>
            </a:ln>
            <a:effectLst/>
          </c:spPr>
          <c:marker>
            <c:symbol val="circle"/>
            <c:size val="6"/>
            <c:spPr>
              <a:solidFill>
                <a:schemeClr val="dk1">
                  <a:tint val="60000"/>
                </a:schemeClr>
              </a:solidFill>
              <a:ln w="9525">
                <a:solidFill>
                  <a:schemeClr val="dk1">
                    <a:tint val="60000"/>
                  </a:schemeClr>
                </a:solidFill>
                <a:round/>
              </a:ln>
              <a:effectLst/>
            </c:spPr>
          </c:marker>
          <c:cat>
            <c:strRef>
              <c:f>'Part filles'!$D$30:$Z$30</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'Part filles'!$D$36:$Z$36</c:f>
              <c:numCache>
                <c:formatCode>0.0</c:formatCode>
                <c:ptCount val="23"/>
                <c:pt idx="0">
                  <c:v>96.850866011846719</c:v>
                </c:pt>
                <c:pt idx="1">
                  <c:v>96.055314810094117</c:v>
                </c:pt>
                <c:pt idx="2">
                  <c:v>95.506746156259553</c:v>
                </c:pt>
                <c:pt idx="3">
                  <c:v>95.110716465952606</c:v>
                </c:pt>
                <c:pt idx="4">
                  <c:v>95.488563297143571</c:v>
                </c:pt>
                <c:pt idx="5">
                  <c:v>95.505982998538059</c:v>
                </c:pt>
                <c:pt idx="6">
                  <c:v>95.966395324566889</c:v>
                </c:pt>
                <c:pt idx="7">
                  <c:v>96.430550936703256</c:v>
                </c:pt>
                <c:pt idx="8">
                  <c:v>96.428571428571388</c:v>
                </c:pt>
                <c:pt idx="9">
                  <c:v>96.428180124904088</c:v>
                </c:pt>
                <c:pt idx="10">
                  <c:v>96.174220129487878</c:v>
                </c:pt>
                <c:pt idx="11">
                  <c:v>95.467521410327237</c:v>
                </c:pt>
                <c:pt idx="12">
                  <c:v>94.972123669538917</c:v>
                </c:pt>
                <c:pt idx="13">
                  <c:v>94.330679674198166</c:v>
                </c:pt>
                <c:pt idx="14">
                  <c:v>94.207744579872724</c:v>
                </c:pt>
                <c:pt idx="15">
                  <c:v>93.172340219183127</c:v>
                </c:pt>
                <c:pt idx="16">
                  <c:v>93.072107581729497</c:v>
                </c:pt>
                <c:pt idx="17">
                  <c:v>92.75857229732874</c:v>
                </c:pt>
                <c:pt idx="18">
                  <c:v>92.111607142857139</c:v>
                </c:pt>
                <c:pt idx="19">
                  <c:v>91.753271342617879</c:v>
                </c:pt>
                <c:pt idx="20">
                  <c:v>90.527950310558808</c:v>
                </c:pt>
                <c:pt idx="21">
                  <c:v>89.710193684817895</c:v>
                </c:pt>
                <c:pt idx="22">
                  <c:v>88.888369483919234</c:v>
                </c:pt>
              </c:numCache>
            </c:numRef>
          </c:val>
          <c:extLst xmlns:c16r2="http://schemas.microsoft.com/office/drawing/2015/06/chart">
            <c:ext xmlns:c16="http://schemas.microsoft.com/office/drawing/2014/chart" uri="{C3380CC4-5D6E-409C-BE32-E72D297353CC}">
              <c16:uniqueId val="{00000005-851E-4BBC-8231-850025998FDA}"/>
            </c:ext>
          </c:extLst>
        </c:ser>
        <c:ser>
          <c:idx val="6"/>
          <c:order val="6"/>
          <c:tx>
            <c:strRef>
              <c:f>'Part filles'!$C$37</c:f>
              <c:strCache>
                <c:ptCount val="1"/>
                <c:pt idx="0">
                  <c:v>Production</c:v>
                </c:pt>
              </c:strCache>
            </c:strRef>
          </c:tx>
          <c:spPr>
            <a:ln w="22225" cap="rnd">
              <a:solidFill>
                <a:schemeClr val="dk1">
                  <a:tint val="80000"/>
                </a:schemeClr>
              </a:solidFill>
              <a:round/>
            </a:ln>
            <a:effectLst/>
          </c:spPr>
          <c:marker>
            <c:symbol val="plus"/>
            <c:size val="6"/>
            <c:spPr>
              <a:noFill/>
              <a:ln w="9525">
                <a:solidFill>
                  <a:schemeClr val="dk1">
                    <a:tint val="80000"/>
                  </a:schemeClr>
                </a:solidFill>
                <a:round/>
              </a:ln>
              <a:effectLst/>
            </c:spPr>
          </c:marker>
          <c:cat>
            <c:strRef>
              <c:f>'Part filles'!$D$30:$Z$30</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'Part filles'!$D$37:$Z$37</c:f>
              <c:numCache>
                <c:formatCode>0.0</c:formatCode>
                <c:ptCount val="23"/>
                <c:pt idx="0">
                  <c:v>9.9476033378614392</c:v>
                </c:pt>
                <c:pt idx="1">
                  <c:v>10.171394603877019</c:v>
                </c:pt>
                <c:pt idx="2">
                  <c:v>8.2095022322915998</c:v>
                </c:pt>
                <c:pt idx="3">
                  <c:v>10.212313035684275</c:v>
                </c:pt>
                <c:pt idx="4">
                  <c:v>9.6976945391623186</c:v>
                </c:pt>
                <c:pt idx="5">
                  <c:v>10.366651597706372</c:v>
                </c:pt>
                <c:pt idx="6">
                  <c:v>10.16320121806157</c:v>
                </c:pt>
                <c:pt idx="7">
                  <c:v>10.247291568535072</c:v>
                </c:pt>
                <c:pt idx="8">
                  <c:v>10.763144882149348</c:v>
                </c:pt>
                <c:pt idx="9">
                  <c:v>10.536760757395344</c:v>
                </c:pt>
                <c:pt idx="10">
                  <c:v>11.012251043734159</c:v>
                </c:pt>
                <c:pt idx="11">
                  <c:v>10.987755453996723</c:v>
                </c:pt>
                <c:pt idx="12">
                  <c:v>11.139803153772865</c:v>
                </c:pt>
                <c:pt idx="13">
                  <c:v>11.324928588303511</c:v>
                </c:pt>
                <c:pt idx="14">
                  <c:v>11.915980698268536</c:v>
                </c:pt>
                <c:pt idx="15">
                  <c:v>12.60599422107232</c:v>
                </c:pt>
                <c:pt idx="16">
                  <c:v>11.370577166301636</c:v>
                </c:pt>
                <c:pt idx="17">
                  <c:v>14.40675323055172</c:v>
                </c:pt>
                <c:pt idx="18">
                  <c:v>13.797315436241611</c:v>
                </c:pt>
                <c:pt idx="19">
                  <c:v>15.235827636568947</c:v>
                </c:pt>
                <c:pt idx="20">
                  <c:v>15.212647241165532</c:v>
                </c:pt>
                <c:pt idx="21">
                  <c:v>15.059554763142927</c:v>
                </c:pt>
                <c:pt idx="22">
                  <c:v>15.325858532472614</c:v>
                </c:pt>
              </c:numCache>
            </c:numRef>
          </c:val>
          <c:extLst xmlns:c16r2="http://schemas.microsoft.com/office/drawing/2015/06/chart">
            <c:ext xmlns:c16="http://schemas.microsoft.com/office/drawing/2014/chart" uri="{C3380CC4-5D6E-409C-BE32-E72D297353CC}">
              <c16:uniqueId val="{00000006-851E-4BBC-8231-850025998FDA}"/>
            </c:ext>
          </c:extLst>
        </c:ser>
        <c:ser>
          <c:idx val="7"/>
          <c:order val="7"/>
          <c:tx>
            <c:strRef>
              <c:f>'Part filles'!$C$38</c:f>
              <c:strCache>
                <c:ptCount val="1"/>
                <c:pt idx="0">
                  <c:v>Services</c:v>
                </c:pt>
              </c:strCache>
            </c:strRef>
          </c:tx>
          <c:spPr>
            <a:ln w="22225" cap="rnd">
              <a:solidFill>
                <a:schemeClr val="dk1">
                  <a:tint val="88500"/>
                </a:schemeClr>
              </a:solidFill>
              <a:round/>
            </a:ln>
            <a:effectLst/>
          </c:spPr>
          <c:marker>
            <c:symbol val="dot"/>
            <c:size val="6"/>
            <c:spPr>
              <a:solidFill>
                <a:schemeClr val="dk1">
                  <a:tint val="88500"/>
                </a:schemeClr>
              </a:solidFill>
              <a:ln w="9525">
                <a:solidFill>
                  <a:schemeClr val="dk1">
                    <a:tint val="88500"/>
                  </a:schemeClr>
                </a:solidFill>
                <a:round/>
              </a:ln>
              <a:effectLst/>
            </c:spPr>
          </c:marker>
          <c:cat>
            <c:strRef>
              <c:f>'Part filles'!$D$30:$Z$30</c:f>
              <c:strCache>
                <c:ptCount val="23"/>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strCache>
            </c:strRef>
          </c:cat>
          <c:val>
            <c:numRef>
              <c:f>'Part filles'!$D$38:$Z$38</c:f>
              <c:numCache>
                <c:formatCode>0.0</c:formatCode>
                <c:ptCount val="23"/>
                <c:pt idx="0">
                  <c:v>71.925020537203451</c:v>
                </c:pt>
                <c:pt idx="1">
                  <c:v>72.861890443786308</c:v>
                </c:pt>
                <c:pt idx="2">
                  <c:v>70.971056687789002</c:v>
                </c:pt>
                <c:pt idx="3">
                  <c:v>69.987573848400956</c:v>
                </c:pt>
                <c:pt idx="4">
                  <c:v>69.433446263112884</c:v>
                </c:pt>
                <c:pt idx="5">
                  <c:v>70.53649086739938</c:v>
                </c:pt>
                <c:pt idx="6">
                  <c:v>70.290300208064949</c:v>
                </c:pt>
                <c:pt idx="7">
                  <c:v>71.135976838357365</c:v>
                </c:pt>
                <c:pt idx="8">
                  <c:v>70.200538028857878</c:v>
                </c:pt>
                <c:pt idx="9">
                  <c:v>70.211434271519963</c:v>
                </c:pt>
                <c:pt idx="10">
                  <c:v>69.853342773338539</c:v>
                </c:pt>
                <c:pt idx="11">
                  <c:v>68.905748144866337</c:v>
                </c:pt>
                <c:pt idx="12">
                  <c:v>69.405854841503555</c:v>
                </c:pt>
                <c:pt idx="13">
                  <c:v>69.432599118942733</c:v>
                </c:pt>
                <c:pt idx="14">
                  <c:v>68.62690216990984</c:v>
                </c:pt>
                <c:pt idx="15">
                  <c:v>67.977451055077324</c:v>
                </c:pt>
                <c:pt idx="16">
                  <c:v>67.229893678034145</c:v>
                </c:pt>
                <c:pt idx="17">
                  <c:v>65.923681209612724</c:v>
                </c:pt>
                <c:pt idx="18">
                  <c:v>64.487084174130587</c:v>
                </c:pt>
                <c:pt idx="19">
                  <c:v>72.88048749245128</c:v>
                </c:pt>
                <c:pt idx="20">
                  <c:v>71.070669611233825</c:v>
                </c:pt>
                <c:pt idx="21">
                  <c:v>69.786525359576075</c:v>
                </c:pt>
                <c:pt idx="22">
                  <c:v>69.25680152492788</c:v>
                </c:pt>
              </c:numCache>
            </c:numRef>
          </c:val>
          <c:extLst xmlns:c16r2="http://schemas.microsoft.com/office/drawing/2015/06/chart">
            <c:ext xmlns:c16="http://schemas.microsoft.com/office/drawing/2014/chart" uri="{C3380CC4-5D6E-409C-BE32-E72D297353CC}">
              <c16:uniqueId val="{00000007-851E-4BBC-8231-850025998FDA}"/>
            </c:ext>
          </c:extLst>
        </c:ser>
        <c:marker val="1"/>
        <c:axId val="164070912"/>
        <c:axId val="147701760"/>
      </c:lineChart>
      <c:catAx>
        <c:axId val="16407091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cap="all" spc="120" normalizeH="0" baseline="0">
                <a:solidFill>
                  <a:schemeClr val="tx1">
                    <a:lumMod val="65000"/>
                    <a:lumOff val="35000"/>
                  </a:schemeClr>
                </a:solidFill>
                <a:latin typeface="+mn-lt"/>
                <a:ea typeface="+mn-ea"/>
                <a:cs typeface="+mn-cs"/>
              </a:defRPr>
            </a:pPr>
            <a:endParaRPr lang="fr-FR"/>
          </a:p>
        </c:txPr>
        <c:crossAx val="147701760"/>
        <c:crosses val="autoZero"/>
        <c:auto val="1"/>
        <c:lblAlgn val="ctr"/>
        <c:lblOffset val="100"/>
      </c:catAx>
      <c:valAx>
        <c:axId val="147701760"/>
        <c:scaling>
          <c:orientation val="minMax"/>
          <c:max val="100"/>
        </c:scaling>
        <c:axPos val="l"/>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0.0"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fr-FR"/>
          </a:p>
        </c:txPr>
        <c:crossAx val="16407091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sz="500"/>
      </a:pPr>
      <a:endParaRPr lang="fr-F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en-US"/>
              <a:t>Part des femmes</a:t>
            </a:r>
          </a:p>
        </c:rich>
      </c:tx>
      <c:overlay val="1"/>
    </c:title>
    <c:plotArea>
      <c:layout>
        <c:manualLayout>
          <c:layoutTarget val="inner"/>
          <c:xMode val="edge"/>
          <c:yMode val="edge"/>
          <c:x val="5.2629168794173599E-2"/>
          <c:y val="8.376505417240647E-2"/>
          <c:w val="0.93343903684394403"/>
          <c:h val="0.84704097366419639"/>
        </c:manualLayout>
      </c:layout>
      <c:lineChart>
        <c:grouping val="standard"/>
        <c:ser>
          <c:idx val="0"/>
          <c:order val="0"/>
          <c:tx>
            <c:strRef>
              <c:f>'Doc2'!$B$2</c:f>
              <c:strCache>
                <c:ptCount val="1"/>
                <c:pt idx="0">
                  <c:v>Agriculteurs exploitants</c:v>
                </c:pt>
              </c:strCache>
            </c:strRef>
          </c:tx>
          <c:spPr>
            <a:ln>
              <a:solidFill>
                <a:schemeClr val="bg1">
                  <a:lumMod val="50000"/>
                </a:schemeClr>
              </a:solidFill>
              <a:prstDash val="sysDot"/>
            </a:ln>
          </c:spPr>
          <c:marker>
            <c:symbol val="none"/>
          </c:marker>
          <c:cat>
            <c:strRef>
              <c:f>'Doc2'!$A$4:$A$39</c:f>
              <c:strCache>
                <c:ptCount val="36"/>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strCache>
            </c:strRef>
          </c:cat>
          <c:val>
            <c:numRef>
              <c:f>'Doc2'!$D$4:$D$39</c:f>
              <c:numCache>
                <c:formatCode>0.0</c:formatCode>
                <c:ptCount val="36"/>
                <c:pt idx="0">
                  <c:v>38.671632526381131</c:v>
                </c:pt>
                <c:pt idx="1">
                  <c:v>39.416511483550529</c:v>
                </c:pt>
                <c:pt idx="2">
                  <c:v>39.290012033694353</c:v>
                </c:pt>
                <c:pt idx="3">
                  <c:v>39.113924050632818</c:v>
                </c:pt>
                <c:pt idx="4">
                  <c:v>38.331071913161445</c:v>
                </c:pt>
                <c:pt idx="5">
                  <c:v>37.525773195876312</c:v>
                </c:pt>
                <c:pt idx="6">
                  <c:v>37.708484408991993</c:v>
                </c:pt>
                <c:pt idx="7">
                  <c:v>37.801204819277018</c:v>
                </c:pt>
                <c:pt idx="8">
                  <c:v>37.726523887973663</c:v>
                </c:pt>
                <c:pt idx="9">
                  <c:v>38.869565217391305</c:v>
                </c:pt>
                <c:pt idx="10">
                  <c:v>39.179104477611894</c:v>
                </c:pt>
                <c:pt idx="11">
                  <c:v>39.872746553552389</c:v>
                </c:pt>
                <c:pt idx="12">
                  <c:v>38.838268792710707</c:v>
                </c:pt>
                <c:pt idx="13">
                  <c:v>39.098660170523807</c:v>
                </c:pt>
                <c:pt idx="14">
                  <c:v>38.216560509554142</c:v>
                </c:pt>
                <c:pt idx="15">
                  <c:v>37.550471063256957</c:v>
                </c:pt>
                <c:pt idx="16">
                  <c:v>36.52173913043486</c:v>
                </c:pt>
                <c:pt idx="17">
                  <c:v>36.632200886262922</c:v>
                </c:pt>
                <c:pt idx="18">
                  <c:v>35.266457680250781</c:v>
                </c:pt>
                <c:pt idx="19">
                  <c:v>35.416666666666508</c:v>
                </c:pt>
                <c:pt idx="20">
                  <c:v>35.023041474654313</c:v>
                </c:pt>
                <c:pt idx="21">
                  <c:v>31.571815718157215</c:v>
                </c:pt>
                <c:pt idx="22">
                  <c:v>33.485540334855457</c:v>
                </c:pt>
                <c:pt idx="23">
                  <c:v>29.373996789727126</c:v>
                </c:pt>
                <c:pt idx="24">
                  <c:v>28.810975609756142</c:v>
                </c:pt>
                <c:pt idx="25">
                  <c:v>29.369369369369327</c:v>
                </c:pt>
                <c:pt idx="26">
                  <c:v>29.338842975206614</c:v>
                </c:pt>
                <c:pt idx="27">
                  <c:v>28.893058161350876</c:v>
                </c:pt>
                <c:pt idx="28">
                  <c:v>27.410207939508506</c:v>
                </c:pt>
                <c:pt idx="29">
                  <c:v>27.788279773156862</c:v>
                </c:pt>
                <c:pt idx="30">
                  <c:v>27.831094049904031</c:v>
                </c:pt>
                <c:pt idx="31">
                  <c:v>27.476635514018692</c:v>
                </c:pt>
                <c:pt idx="32">
                  <c:v>28.343313373253487</c:v>
                </c:pt>
                <c:pt idx="33">
                  <c:v>27.55741127348643</c:v>
                </c:pt>
                <c:pt idx="34">
                  <c:v>26.970954356846523</c:v>
                </c:pt>
                <c:pt idx="35">
                  <c:v>26.590909090909086</c:v>
                </c:pt>
              </c:numCache>
            </c:numRef>
          </c:val>
          <c:extLst xmlns:c16r2="http://schemas.microsoft.com/office/drawing/2015/06/chart">
            <c:ext xmlns:c16="http://schemas.microsoft.com/office/drawing/2014/chart" uri="{C3380CC4-5D6E-409C-BE32-E72D297353CC}">
              <c16:uniqueId val="{00000000-487C-4024-B53A-B2CCDD0A2FAA}"/>
            </c:ext>
          </c:extLst>
        </c:ser>
        <c:ser>
          <c:idx val="1"/>
          <c:order val="1"/>
          <c:tx>
            <c:strRef>
              <c:f>'Doc2'!$E$2</c:f>
              <c:strCache>
                <c:ptCount val="1"/>
                <c:pt idx="0">
                  <c:v>Artisans, commerçants et chefs d'entreprises</c:v>
                </c:pt>
              </c:strCache>
            </c:strRef>
          </c:tx>
          <c:spPr>
            <a:ln>
              <a:solidFill>
                <a:schemeClr val="tx1"/>
              </a:solidFill>
              <a:prstDash val="sysDash"/>
            </a:ln>
          </c:spPr>
          <c:marker>
            <c:symbol val="none"/>
          </c:marker>
          <c:cat>
            <c:strRef>
              <c:f>'Doc2'!$A$4:$A$39</c:f>
              <c:strCache>
                <c:ptCount val="36"/>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strCache>
            </c:strRef>
          </c:cat>
          <c:val>
            <c:numRef>
              <c:f>'Doc2'!$G$4:$G$39</c:f>
              <c:numCache>
                <c:formatCode>0.0</c:formatCode>
                <c:ptCount val="36"/>
                <c:pt idx="0">
                  <c:v>34.965771458662353</c:v>
                </c:pt>
                <c:pt idx="1">
                  <c:v>36.503719447396328</c:v>
                </c:pt>
                <c:pt idx="2">
                  <c:v>36.870026525198924</c:v>
                </c:pt>
                <c:pt idx="3">
                  <c:v>35.997794928335168</c:v>
                </c:pt>
                <c:pt idx="4">
                  <c:v>35.58151885289432</c:v>
                </c:pt>
                <c:pt idx="5">
                  <c:v>34.822888283378752</c:v>
                </c:pt>
                <c:pt idx="6">
                  <c:v>33.870101986044006</c:v>
                </c:pt>
                <c:pt idx="7">
                  <c:v>33.89923329682366</c:v>
                </c:pt>
                <c:pt idx="8">
                  <c:v>33.333333333333329</c:v>
                </c:pt>
                <c:pt idx="9">
                  <c:v>33.404255319148938</c:v>
                </c:pt>
                <c:pt idx="10">
                  <c:v>33.011272141706925</c:v>
                </c:pt>
                <c:pt idx="11">
                  <c:v>32.468996617812849</c:v>
                </c:pt>
                <c:pt idx="12">
                  <c:v>32.263420033204206</c:v>
                </c:pt>
                <c:pt idx="13">
                  <c:v>33.182844243792225</c:v>
                </c:pt>
                <c:pt idx="14">
                  <c:v>30.876378409750469</c:v>
                </c:pt>
                <c:pt idx="15">
                  <c:v>30.675203725261927</c:v>
                </c:pt>
                <c:pt idx="16">
                  <c:v>30.583382439599262</c:v>
                </c:pt>
                <c:pt idx="17">
                  <c:v>29.792284866468826</c:v>
                </c:pt>
                <c:pt idx="18">
                  <c:v>29.349845201238388</c:v>
                </c:pt>
                <c:pt idx="19">
                  <c:v>29.177377892030847</c:v>
                </c:pt>
                <c:pt idx="20">
                  <c:v>28.822381262199087</c:v>
                </c:pt>
                <c:pt idx="21">
                  <c:v>30.094637223974736</c:v>
                </c:pt>
                <c:pt idx="22">
                  <c:v>29.093281148075668</c:v>
                </c:pt>
                <c:pt idx="23">
                  <c:v>29.118773946360129</c:v>
                </c:pt>
                <c:pt idx="24">
                  <c:v>29.713239780353845</c:v>
                </c:pt>
                <c:pt idx="25">
                  <c:v>28.958458759783262</c:v>
                </c:pt>
                <c:pt idx="26">
                  <c:v>29.118541033434653</c:v>
                </c:pt>
                <c:pt idx="27">
                  <c:v>27.700663850331871</c:v>
                </c:pt>
                <c:pt idx="28">
                  <c:v>27.59795570698472</c:v>
                </c:pt>
                <c:pt idx="29">
                  <c:v>28.057971014492814</c:v>
                </c:pt>
                <c:pt idx="30">
                  <c:v>27.459016393442624</c:v>
                </c:pt>
                <c:pt idx="31">
                  <c:v>28.371810449574731</c:v>
                </c:pt>
                <c:pt idx="32">
                  <c:v>28.944246737841006</c:v>
                </c:pt>
                <c:pt idx="33">
                  <c:v>29.272619751626213</c:v>
                </c:pt>
                <c:pt idx="34">
                  <c:v>29.276693455797929</c:v>
                </c:pt>
                <c:pt idx="35">
                  <c:v>30.264672036823878</c:v>
                </c:pt>
              </c:numCache>
            </c:numRef>
          </c:val>
          <c:extLst xmlns:c16r2="http://schemas.microsoft.com/office/drawing/2015/06/chart">
            <c:ext xmlns:c16="http://schemas.microsoft.com/office/drawing/2014/chart" uri="{C3380CC4-5D6E-409C-BE32-E72D297353CC}">
              <c16:uniqueId val="{00000001-487C-4024-B53A-B2CCDD0A2FAA}"/>
            </c:ext>
          </c:extLst>
        </c:ser>
        <c:ser>
          <c:idx val="2"/>
          <c:order val="2"/>
          <c:tx>
            <c:strRef>
              <c:f>'Doc2'!$H$2</c:f>
              <c:strCache>
                <c:ptCount val="1"/>
                <c:pt idx="0">
                  <c:v>Cadres et professions intellectuelles supérieures</c:v>
                </c:pt>
              </c:strCache>
            </c:strRef>
          </c:tx>
          <c:spPr>
            <a:ln>
              <a:solidFill>
                <a:schemeClr val="bg1">
                  <a:lumMod val="50000"/>
                </a:schemeClr>
              </a:solidFill>
            </a:ln>
          </c:spPr>
          <c:marker>
            <c:symbol val="triangle"/>
            <c:size val="5"/>
            <c:spPr>
              <a:solidFill>
                <a:schemeClr val="bg1">
                  <a:lumMod val="50000"/>
                </a:schemeClr>
              </a:solidFill>
              <a:ln>
                <a:solidFill>
                  <a:schemeClr val="bg1">
                    <a:lumMod val="50000"/>
                  </a:schemeClr>
                </a:solidFill>
              </a:ln>
            </c:spPr>
          </c:marker>
          <c:cat>
            <c:strRef>
              <c:f>'Doc2'!$A$4:$A$39</c:f>
              <c:strCache>
                <c:ptCount val="36"/>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strCache>
            </c:strRef>
          </c:cat>
          <c:val>
            <c:numRef>
              <c:f>'Doc2'!$J$4:$J$39</c:f>
              <c:numCache>
                <c:formatCode>0.0</c:formatCode>
                <c:ptCount val="36"/>
                <c:pt idx="0">
                  <c:v>20.88963963963959</c:v>
                </c:pt>
                <c:pt idx="1">
                  <c:v>21.47401908801697</c:v>
                </c:pt>
                <c:pt idx="2">
                  <c:v>22.055007784120363</c:v>
                </c:pt>
                <c:pt idx="3">
                  <c:v>22.413793103448278</c:v>
                </c:pt>
                <c:pt idx="4">
                  <c:v>24.317738791423</c:v>
                </c:pt>
                <c:pt idx="5">
                  <c:v>24.881516587677684</c:v>
                </c:pt>
                <c:pt idx="6">
                  <c:v>25.188136343514799</c:v>
                </c:pt>
                <c:pt idx="7">
                  <c:v>25.944024877832042</c:v>
                </c:pt>
                <c:pt idx="8">
                  <c:v>27.447767308480127</c:v>
                </c:pt>
                <c:pt idx="9">
                  <c:v>28.6328125</c:v>
                </c:pt>
                <c:pt idx="10">
                  <c:v>29.305247597930496</c:v>
                </c:pt>
                <c:pt idx="11">
                  <c:v>29.673154608887288</c:v>
                </c:pt>
                <c:pt idx="12">
                  <c:v>29.904221355090488</c:v>
                </c:pt>
                <c:pt idx="13">
                  <c:v>30.886426592797733</c:v>
                </c:pt>
                <c:pt idx="14">
                  <c:v>31.867757327880035</c:v>
                </c:pt>
                <c:pt idx="15">
                  <c:v>31.156968876860631</c:v>
                </c:pt>
                <c:pt idx="16">
                  <c:v>32.307183051969453</c:v>
                </c:pt>
                <c:pt idx="17">
                  <c:v>32.627526467757392</c:v>
                </c:pt>
                <c:pt idx="18">
                  <c:v>33.006134969325153</c:v>
                </c:pt>
                <c:pt idx="19">
                  <c:v>33.313851548801871</c:v>
                </c:pt>
                <c:pt idx="20">
                  <c:v>34.864183702044244</c:v>
                </c:pt>
                <c:pt idx="21">
                  <c:v>35.274993226767812</c:v>
                </c:pt>
                <c:pt idx="22">
                  <c:v>36.12579281183941</c:v>
                </c:pt>
                <c:pt idx="23">
                  <c:v>36.978636826042731</c:v>
                </c:pt>
                <c:pt idx="24">
                  <c:v>37.306346826586712</c:v>
                </c:pt>
                <c:pt idx="25">
                  <c:v>37.350573310563547</c:v>
                </c:pt>
                <c:pt idx="26">
                  <c:v>38.923149905123338</c:v>
                </c:pt>
                <c:pt idx="27">
                  <c:v>39.487902278599961</c:v>
                </c:pt>
                <c:pt idx="28">
                  <c:v>38.532321141016801</c:v>
                </c:pt>
                <c:pt idx="29">
                  <c:v>39.2057920140413</c:v>
                </c:pt>
                <c:pt idx="30">
                  <c:v>40.047139490036372</c:v>
                </c:pt>
                <c:pt idx="31">
                  <c:v>39.91624421423839</c:v>
                </c:pt>
                <c:pt idx="32">
                  <c:v>40.272808586762075</c:v>
                </c:pt>
                <c:pt idx="33">
                  <c:v>40.069084628670105</c:v>
                </c:pt>
                <c:pt idx="34">
                  <c:v>40.465608465608391</c:v>
                </c:pt>
                <c:pt idx="35">
                  <c:v>40.654108880149039</c:v>
                </c:pt>
              </c:numCache>
            </c:numRef>
          </c:val>
          <c:extLst xmlns:c16r2="http://schemas.microsoft.com/office/drawing/2015/06/chart">
            <c:ext xmlns:c16="http://schemas.microsoft.com/office/drawing/2014/chart" uri="{C3380CC4-5D6E-409C-BE32-E72D297353CC}">
              <c16:uniqueId val="{00000002-487C-4024-B53A-B2CCDD0A2FAA}"/>
            </c:ext>
          </c:extLst>
        </c:ser>
        <c:ser>
          <c:idx val="3"/>
          <c:order val="3"/>
          <c:tx>
            <c:strRef>
              <c:f>'Doc2'!$K$2</c:f>
              <c:strCache>
                <c:ptCount val="1"/>
                <c:pt idx="0">
                  <c:v>Professions intermédiaires</c:v>
                </c:pt>
              </c:strCache>
            </c:strRef>
          </c:tx>
          <c:spPr>
            <a:ln>
              <a:solidFill>
                <a:schemeClr val="tx1"/>
              </a:solidFill>
            </a:ln>
          </c:spPr>
          <c:marker>
            <c:symbol val="triangle"/>
            <c:size val="5"/>
            <c:spPr>
              <a:solidFill>
                <a:schemeClr val="tx1"/>
              </a:solidFill>
              <a:ln>
                <a:solidFill>
                  <a:prstClr val="black"/>
                </a:solidFill>
              </a:ln>
            </c:spPr>
          </c:marker>
          <c:cat>
            <c:strRef>
              <c:f>'Doc2'!$A$4:$A$39</c:f>
              <c:strCache>
                <c:ptCount val="36"/>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strCache>
            </c:strRef>
          </c:cat>
          <c:val>
            <c:numRef>
              <c:f>'Doc2'!$M$4:$M$39</c:f>
              <c:numCache>
                <c:formatCode>0.0</c:formatCode>
                <c:ptCount val="36"/>
                <c:pt idx="0">
                  <c:v>41.187050359712124</c:v>
                </c:pt>
                <c:pt idx="1">
                  <c:v>41.362742956977513</c:v>
                </c:pt>
                <c:pt idx="2">
                  <c:v>41.977169933232794</c:v>
                </c:pt>
                <c:pt idx="3">
                  <c:v>41.813175174751109</c:v>
                </c:pt>
                <c:pt idx="4">
                  <c:v>42.290012536565115</c:v>
                </c:pt>
                <c:pt idx="5">
                  <c:v>43.165318398672575</c:v>
                </c:pt>
                <c:pt idx="6">
                  <c:v>43.737038573206078</c:v>
                </c:pt>
                <c:pt idx="7">
                  <c:v>43.652244566321286</c:v>
                </c:pt>
                <c:pt idx="8">
                  <c:v>43.637492240844203</c:v>
                </c:pt>
                <c:pt idx="9">
                  <c:v>44.20756234915536</c:v>
                </c:pt>
                <c:pt idx="10">
                  <c:v>45.016077170417994</c:v>
                </c:pt>
                <c:pt idx="11">
                  <c:v>45.725338491295993</c:v>
                </c:pt>
                <c:pt idx="12">
                  <c:v>45.829244357212843</c:v>
                </c:pt>
                <c:pt idx="13">
                  <c:v>45.869607274134246</c:v>
                </c:pt>
                <c:pt idx="14">
                  <c:v>46.161284084316264</c:v>
                </c:pt>
                <c:pt idx="15">
                  <c:v>46.674356016916555</c:v>
                </c:pt>
                <c:pt idx="16">
                  <c:v>47.168377042949515</c:v>
                </c:pt>
                <c:pt idx="17">
                  <c:v>47.36940647818755</c:v>
                </c:pt>
                <c:pt idx="18">
                  <c:v>48.228634039444863</c:v>
                </c:pt>
                <c:pt idx="19">
                  <c:v>48.44753747323324</c:v>
                </c:pt>
                <c:pt idx="20">
                  <c:v>48.105465339619343</c:v>
                </c:pt>
                <c:pt idx="21">
                  <c:v>48.318739054290639</c:v>
                </c:pt>
                <c:pt idx="22">
                  <c:v>48.802343615371356</c:v>
                </c:pt>
                <c:pt idx="23">
                  <c:v>49.682403433476395</c:v>
                </c:pt>
                <c:pt idx="24">
                  <c:v>50.161867439086627</c:v>
                </c:pt>
                <c:pt idx="25">
                  <c:v>50.485762144053602</c:v>
                </c:pt>
                <c:pt idx="26">
                  <c:v>50.128410914927919</c:v>
                </c:pt>
                <c:pt idx="27">
                  <c:v>50.486210744460379</c:v>
                </c:pt>
                <c:pt idx="28">
                  <c:v>50.891026651947527</c:v>
                </c:pt>
                <c:pt idx="29">
                  <c:v>50.691171850455561</c:v>
                </c:pt>
                <c:pt idx="30">
                  <c:v>51.22708915812364</c:v>
                </c:pt>
                <c:pt idx="31">
                  <c:v>51.190117505272646</c:v>
                </c:pt>
                <c:pt idx="32">
                  <c:v>51.291567695961994</c:v>
                </c:pt>
                <c:pt idx="33">
                  <c:v>52.469043711770851</c:v>
                </c:pt>
                <c:pt idx="34">
                  <c:v>52.677659419232327</c:v>
                </c:pt>
                <c:pt idx="35">
                  <c:v>52.527886426191451</c:v>
                </c:pt>
              </c:numCache>
            </c:numRef>
          </c:val>
          <c:extLst xmlns:c16r2="http://schemas.microsoft.com/office/drawing/2015/06/chart">
            <c:ext xmlns:c16="http://schemas.microsoft.com/office/drawing/2014/chart" uri="{C3380CC4-5D6E-409C-BE32-E72D297353CC}">
              <c16:uniqueId val="{00000003-487C-4024-B53A-B2CCDD0A2FAA}"/>
            </c:ext>
          </c:extLst>
        </c:ser>
        <c:ser>
          <c:idx val="4"/>
          <c:order val="4"/>
          <c:tx>
            <c:strRef>
              <c:f>'Doc2'!$N$2</c:f>
              <c:strCache>
                <c:ptCount val="1"/>
                <c:pt idx="0">
                  <c:v>Employés qualifiés</c:v>
                </c:pt>
              </c:strCache>
            </c:strRef>
          </c:tx>
          <c:spPr>
            <a:ln>
              <a:solidFill>
                <a:schemeClr val="bg1">
                  <a:lumMod val="50000"/>
                </a:schemeClr>
              </a:solidFill>
            </a:ln>
          </c:spPr>
          <c:marker>
            <c:symbol val="none"/>
          </c:marker>
          <c:cat>
            <c:strRef>
              <c:f>'Doc2'!$A$4:$A$39</c:f>
              <c:strCache>
                <c:ptCount val="36"/>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strCache>
            </c:strRef>
          </c:cat>
          <c:val>
            <c:numRef>
              <c:f>'Doc2'!$P$4:$P$39</c:f>
              <c:numCache>
                <c:formatCode>0.0</c:formatCode>
                <c:ptCount val="36"/>
                <c:pt idx="0">
                  <c:v>72.958152958152951</c:v>
                </c:pt>
                <c:pt idx="1">
                  <c:v>74.036214953271127</c:v>
                </c:pt>
                <c:pt idx="2">
                  <c:v>74.237089201878106</c:v>
                </c:pt>
                <c:pt idx="3">
                  <c:v>74.956471271038879</c:v>
                </c:pt>
                <c:pt idx="4">
                  <c:v>75.206376316538282</c:v>
                </c:pt>
                <c:pt idx="5">
                  <c:v>74.971623155505227</c:v>
                </c:pt>
                <c:pt idx="6">
                  <c:v>74.965421853388648</c:v>
                </c:pt>
                <c:pt idx="7">
                  <c:v>74.64788732394365</c:v>
                </c:pt>
                <c:pt idx="8">
                  <c:v>75.531077891423877</c:v>
                </c:pt>
                <c:pt idx="9">
                  <c:v>76.679306608883877</c:v>
                </c:pt>
                <c:pt idx="10">
                  <c:v>76.763037017022285</c:v>
                </c:pt>
                <c:pt idx="11">
                  <c:v>75.524666121559008</c:v>
                </c:pt>
                <c:pt idx="12">
                  <c:v>75.598601022329788</c:v>
                </c:pt>
                <c:pt idx="13">
                  <c:v>75.722698072805088</c:v>
                </c:pt>
                <c:pt idx="14">
                  <c:v>76.162636194525447</c:v>
                </c:pt>
                <c:pt idx="15">
                  <c:v>75.64864864864866</c:v>
                </c:pt>
                <c:pt idx="16">
                  <c:v>74.86673773987205</c:v>
                </c:pt>
                <c:pt idx="17">
                  <c:v>75.599999999999994</c:v>
                </c:pt>
                <c:pt idx="18">
                  <c:v>75.850601176771349</c:v>
                </c:pt>
                <c:pt idx="19">
                  <c:v>74.608783442705658</c:v>
                </c:pt>
                <c:pt idx="20">
                  <c:v>74.483596597812891</c:v>
                </c:pt>
                <c:pt idx="21">
                  <c:v>74.276908487434596</c:v>
                </c:pt>
                <c:pt idx="22">
                  <c:v>73.868613138686058</c:v>
                </c:pt>
                <c:pt idx="23">
                  <c:v>73.4496124031009</c:v>
                </c:pt>
                <c:pt idx="24">
                  <c:v>73.84916748285994</c:v>
                </c:pt>
                <c:pt idx="25">
                  <c:v>74.745802790257741</c:v>
                </c:pt>
                <c:pt idx="26">
                  <c:v>74.433962264150964</c:v>
                </c:pt>
                <c:pt idx="27">
                  <c:v>73.991789422844732</c:v>
                </c:pt>
                <c:pt idx="28">
                  <c:v>74.327018943170486</c:v>
                </c:pt>
                <c:pt idx="29">
                  <c:v>74.156441717791154</c:v>
                </c:pt>
                <c:pt idx="30">
                  <c:v>74.374999999999986</c:v>
                </c:pt>
                <c:pt idx="31">
                  <c:v>75</c:v>
                </c:pt>
                <c:pt idx="32">
                  <c:v>74.928995610637756</c:v>
                </c:pt>
                <c:pt idx="33">
                  <c:v>74.462574462574452</c:v>
                </c:pt>
                <c:pt idx="34">
                  <c:v>74.771382463690159</c:v>
                </c:pt>
                <c:pt idx="35">
                  <c:v>74.560692078940264</c:v>
                </c:pt>
              </c:numCache>
            </c:numRef>
          </c:val>
          <c:extLst xmlns:c16r2="http://schemas.microsoft.com/office/drawing/2015/06/chart">
            <c:ext xmlns:c16="http://schemas.microsoft.com/office/drawing/2014/chart" uri="{C3380CC4-5D6E-409C-BE32-E72D297353CC}">
              <c16:uniqueId val="{00000004-487C-4024-B53A-B2CCDD0A2FAA}"/>
            </c:ext>
          </c:extLst>
        </c:ser>
        <c:ser>
          <c:idx val="5"/>
          <c:order val="5"/>
          <c:tx>
            <c:strRef>
              <c:f>'Doc2'!$Q$2</c:f>
              <c:strCache>
                <c:ptCount val="1"/>
                <c:pt idx="0">
                  <c:v>Employés non qualifiés</c:v>
                </c:pt>
              </c:strCache>
            </c:strRef>
          </c:tx>
          <c:spPr>
            <a:ln>
              <a:solidFill>
                <a:schemeClr val="tx1"/>
              </a:solidFill>
            </a:ln>
          </c:spPr>
          <c:marker>
            <c:symbol val="none"/>
          </c:marker>
          <c:cat>
            <c:strRef>
              <c:f>'Doc2'!$A$4:$A$39</c:f>
              <c:strCache>
                <c:ptCount val="36"/>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strCache>
            </c:strRef>
          </c:cat>
          <c:val>
            <c:numRef>
              <c:f>'Doc2'!$S$4:$S$39</c:f>
              <c:numCache>
                <c:formatCode>0.0</c:formatCode>
                <c:ptCount val="36"/>
                <c:pt idx="0">
                  <c:v>77.830802603036858</c:v>
                </c:pt>
                <c:pt idx="1">
                  <c:v>77.065404475043024</c:v>
                </c:pt>
                <c:pt idx="2">
                  <c:v>77.251184834123208</c:v>
                </c:pt>
                <c:pt idx="3">
                  <c:v>77.303754266211598</c:v>
                </c:pt>
                <c:pt idx="4">
                  <c:v>77.362366474938369</c:v>
                </c:pt>
                <c:pt idx="5">
                  <c:v>77.195809830781386</c:v>
                </c:pt>
                <c:pt idx="6">
                  <c:v>77.777777777777672</c:v>
                </c:pt>
                <c:pt idx="7">
                  <c:v>77.44533947065591</c:v>
                </c:pt>
                <c:pt idx="8">
                  <c:v>78.509674763277218</c:v>
                </c:pt>
                <c:pt idx="9">
                  <c:v>79.185900125891536</c:v>
                </c:pt>
                <c:pt idx="10">
                  <c:v>79.383590170762119</c:v>
                </c:pt>
                <c:pt idx="11">
                  <c:v>79.238237490664659</c:v>
                </c:pt>
                <c:pt idx="12">
                  <c:v>78.943424503559385</c:v>
                </c:pt>
                <c:pt idx="13">
                  <c:v>78.68675995694295</c:v>
                </c:pt>
                <c:pt idx="14">
                  <c:v>79.553384508025118</c:v>
                </c:pt>
                <c:pt idx="15">
                  <c:v>79.210615855733266</c:v>
                </c:pt>
                <c:pt idx="16">
                  <c:v>79.570613887957066</c:v>
                </c:pt>
                <c:pt idx="17">
                  <c:v>78.55994856959164</c:v>
                </c:pt>
                <c:pt idx="18">
                  <c:v>78.439490445859875</c:v>
                </c:pt>
                <c:pt idx="19">
                  <c:v>78.420398009950219</c:v>
                </c:pt>
                <c:pt idx="20">
                  <c:v>78.847352024922117</c:v>
                </c:pt>
                <c:pt idx="21">
                  <c:v>79.797979797979806</c:v>
                </c:pt>
                <c:pt idx="22">
                  <c:v>79.413561392791678</c:v>
                </c:pt>
                <c:pt idx="23">
                  <c:v>79.477279477279467</c:v>
                </c:pt>
                <c:pt idx="24">
                  <c:v>79.747578514822408</c:v>
                </c:pt>
                <c:pt idx="25">
                  <c:v>79.588882455124306</c:v>
                </c:pt>
                <c:pt idx="26">
                  <c:v>78.282828282828248</c:v>
                </c:pt>
                <c:pt idx="27">
                  <c:v>79.453982549957786</c:v>
                </c:pt>
                <c:pt idx="28">
                  <c:v>79.217536071032299</c:v>
                </c:pt>
                <c:pt idx="29">
                  <c:v>78.561471982157798</c:v>
                </c:pt>
                <c:pt idx="30">
                  <c:v>78.593103448276068</c:v>
                </c:pt>
                <c:pt idx="31">
                  <c:v>78.21320909838326</c:v>
                </c:pt>
                <c:pt idx="32">
                  <c:v>78.677685950413178</c:v>
                </c:pt>
                <c:pt idx="33">
                  <c:v>77.873883928571388</c:v>
                </c:pt>
                <c:pt idx="34">
                  <c:v>77.727784026996588</c:v>
                </c:pt>
                <c:pt idx="35">
                  <c:v>77.275249722530518</c:v>
                </c:pt>
              </c:numCache>
            </c:numRef>
          </c:val>
          <c:extLst xmlns:c16r2="http://schemas.microsoft.com/office/drawing/2015/06/chart">
            <c:ext xmlns:c16="http://schemas.microsoft.com/office/drawing/2014/chart" uri="{C3380CC4-5D6E-409C-BE32-E72D297353CC}">
              <c16:uniqueId val="{00000005-487C-4024-B53A-B2CCDD0A2FAA}"/>
            </c:ext>
          </c:extLst>
        </c:ser>
        <c:ser>
          <c:idx val="6"/>
          <c:order val="6"/>
          <c:tx>
            <c:strRef>
              <c:f>'Doc2'!$T$2</c:f>
              <c:strCache>
                <c:ptCount val="1"/>
                <c:pt idx="0">
                  <c:v>Ouvriers qualifiés</c:v>
                </c:pt>
              </c:strCache>
            </c:strRef>
          </c:tx>
          <c:spPr>
            <a:ln>
              <a:solidFill>
                <a:schemeClr val="bg1">
                  <a:lumMod val="50000"/>
                </a:schemeClr>
              </a:solidFill>
            </a:ln>
          </c:spPr>
          <c:marker>
            <c:symbol val="circle"/>
            <c:size val="5"/>
            <c:spPr>
              <a:ln>
                <a:solidFill>
                  <a:schemeClr val="bg1">
                    <a:lumMod val="50000"/>
                  </a:schemeClr>
                </a:solidFill>
              </a:ln>
            </c:spPr>
          </c:marker>
          <c:cat>
            <c:strRef>
              <c:f>'Doc2'!$A$4:$A$39</c:f>
              <c:strCache>
                <c:ptCount val="36"/>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strCache>
            </c:strRef>
          </c:cat>
          <c:val>
            <c:numRef>
              <c:f>'Doc2'!$V$4:$V$39</c:f>
              <c:numCache>
                <c:formatCode>0.0</c:formatCode>
                <c:ptCount val="36"/>
                <c:pt idx="0">
                  <c:v>9.5418812686364713</c:v>
                </c:pt>
                <c:pt idx="1">
                  <c:v>8.8160497315625896</c:v>
                </c:pt>
                <c:pt idx="2">
                  <c:v>8.884297520661157</c:v>
                </c:pt>
                <c:pt idx="3">
                  <c:v>8.7045123726346425</c:v>
                </c:pt>
                <c:pt idx="4">
                  <c:v>8.6423357664233507</c:v>
                </c:pt>
                <c:pt idx="5">
                  <c:v>8.4950029394474083</c:v>
                </c:pt>
                <c:pt idx="6">
                  <c:v>9.0188014101057519</c:v>
                </c:pt>
                <c:pt idx="7">
                  <c:v>9.1065292096220087</c:v>
                </c:pt>
                <c:pt idx="8">
                  <c:v>10.151306740027511</c:v>
                </c:pt>
                <c:pt idx="9">
                  <c:v>10.382081686429522</c:v>
                </c:pt>
                <c:pt idx="10">
                  <c:v>10.646900269541778</c:v>
                </c:pt>
                <c:pt idx="11">
                  <c:v>10.197277021394809</c:v>
                </c:pt>
                <c:pt idx="12">
                  <c:v>11.071330212062804</c:v>
                </c:pt>
                <c:pt idx="13">
                  <c:v>11.448724905046118</c:v>
                </c:pt>
                <c:pt idx="14">
                  <c:v>11.613756613756626</c:v>
                </c:pt>
                <c:pt idx="15">
                  <c:v>11.158798283261801</c:v>
                </c:pt>
                <c:pt idx="16">
                  <c:v>11.455847255369971</c:v>
                </c:pt>
                <c:pt idx="17">
                  <c:v>11.513244164699712</c:v>
                </c:pt>
                <c:pt idx="18">
                  <c:v>11.029597773842656</c:v>
                </c:pt>
                <c:pt idx="19">
                  <c:v>12.046988252936766</c:v>
                </c:pt>
                <c:pt idx="20">
                  <c:v>11.26582278481011</c:v>
                </c:pt>
                <c:pt idx="21">
                  <c:v>10.896130346232178</c:v>
                </c:pt>
                <c:pt idx="22">
                  <c:v>11.548288196218698</c:v>
                </c:pt>
                <c:pt idx="23">
                  <c:v>11.02979613173027</c:v>
                </c:pt>
                <c:pt idx="24">
                  <c:v>10.990712074303406</c:v>
                </c:pt>
                <c:pt idx="25">
                  <c:v>11.209290583186064</c:v>
                </c:pt>
                <c:pt idx="26">
                  <c:v>11.09146033350177</c:v>
                </c:pt>
                <c:pt idx="27">
                  <c:v>10.979150171549238</c:v>
                </c:pt>
                <c:pt idx="28">
                  <c:v>11.580680570801336</c:v>
                </c:pt>
                <c:pt idx="29">
                  <c:v>11.667583929554224</c:v>
                </c:pt>
                <c:pt idx="30">
                  <c:v>11.638888888888888</c:v>
                </c:pt>
                <c:pt idx="31">
                  <c:v>12.156862745098039</c:v>
                </c:pt>
                <c:pt idx="32">
                  <c:v>11.902766135792122</c:v>
                </c:pt>
                <c:pt idx="33">
                  <c:v>12.286115007012619</c:v>
                </c:pt>
                <c:pt idx="34">
                  <c:v>12.538918765921295</c:v>
                </c:pt>
                <c:pt idx="35">
                  <c:v>12.728278915329268</c:v>
                </c:pt>
              </c:numCache>
            </c:numRef>
          </c:val>
          <c:extLst xmlns:c16r2="http://schemas.microsoft.com/office/drawing/2015/06/chart">
            <c:ext xmlns:c16="http://schemas.microsoft.com/office/drawing/2014/chart" uri="{C3380CC4-5D6E-409C-BE32-E72D297353CC}">
              <c16:uniqueId val="{00000006-487C-4024-B53A-B2CCDD0A2FAA}"/>
            </c:ext>
          </c:extLst>
        </c:ser>
        <c:ser>
          <c:idx val="7"/>
          <c:order val="7"/>
          <c:tx>
            <c:strRef>
              <c:f>'Doc2'!$W$2</c:f>
              <c:strCache>
                <c:ptCount val="1"/>
                <c:pt idx="0">
                  <c:v>Ouvriers non qualifiés</c:v>
                </c:pt>
              </c:strCache>
            </c:strRef>
          </c:tx>
          <c:spPr>
            <a:ln>
              <a:solidFill>
                <a:schemeClr val="tx1"/>
              </a:solidFill>
            </a:ln>
          </c:spPr>
          <c:marker>
            <c:symbol val="circle"/>
            <c:size val="5"/>
            <c:spPr>
              <a:solidFill>
                <a:schemeClr val="tx1"/>
              </a:solidFill>
              <a:ln>
                <a:solidFill>
                  <a:schemeClr val="tx1"/>
                </a:solidFill>
              </a:ln>
            </c:spPr>
          </c:marker>
          <c:cat>
            <c:strRef>
              <c:f>'Doc2'!$A$4:$A$39</c:f>
              <c:strCache>
                <c:ptCount val="36"/>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pt idx="18">
                  <c:v>2000</c:v>
                </c:pt>
                <c:pt idx="19">
                  <c:v>2001</c:v>
                </c:pt>
                <c:pt idx="20">
                  <c:v>2002</c:v>
                </c:pt>
                <c:pt idx="21">
                  <c:v>2003</c:v>
                </c:pt>
                <c:pt idx="22">
                  <c:v>2004</c:v>
                </c:pt>
                <c:pt idx="23">
                  <c:v>2005</c:v>
                </c:pt>
                <c:pt idx="24">
                  <c:v>2006</c:v>
                </c:pt>
                <c:pt idx="25">
                  <c:v>2007</c:v>
                </c:pt>
                <c:pt idx="26">
                  <c:v>2008</c:v>
                </c:pt>
                <c:pt idx="27">
                  <c:v>2009</c:v>
                </c:pt>
                <c:pt idx="28">
                  <c:v>2010</c:v>
                </c:pt>
                <c:pt idx="29">
                  <c:v>2011</c:v>
                </c:pt>
                <c:pt idx="30">
                  <c:v>2012</c:v>
                </c:pt>
                <c:pt idx="31">
                  <c:v>2013</c:v>
                </c:pt>
                <c:pt idx="32">
                  <c:v>2014</c:v>
                </c:pt>
                <c:pt idx="33">
                  <c:v>2015</c:v>
                </c:pt>
                <c:pt idx="34">
                  <c:v>2016</c:v>
                </c:pt>
                <c:pt idx="35">
                  <c:v>2017</c:v>
                </c:pt>
              </c:strCache>
            </c:strRef>
          </c:cat>
          <c:val>
            <c:numRef>
              <c:f>'Doc2'!$Y$4:$Y$39</c:f>
              <c:numCache>
                <c:formatCode>0.0</c:formatCode>
                <c:ptCount val="36"/>
                <c:pt idx="0">
                  <c:v>32.384781936282003</c:v>
                </c:pt>
                <c:pt idx="1">
                  <c:v>32.231404958677629</c:v>
                </c:pt>
                <c:pt idx="2">
                  <c:v>32.360831656606194</c:v>
                </c:pt>
                <c:pt idx="3">
                  <c:v>33.667669675693617</c:v>
                </c:pt>
                <c:pt idx="4">
                  <c:v>34.052924791086284</c:v>
                </c:pt>
                <c:pt idx="5">
                  <c:v>33.075571177504393</c:v>
                </c:pt>
                <c:pt idx="6">
                  <c:v>32.179675994109076</c:v>
                </c:pt>
                <c:pt idx="7">
                  <c:v>32.014388489208521</c:v>
                </c:pt>
                <c:pt idx="8">
                  <c:v>33.830660201417288</c:v>
                </c:pt>
                <c:pt idx="9">
                  <c:v>35.370295426952644</c:v>
                </c:pt>
                <c:pt idx="10">
                  <c:v>34.10024650780602</c:v>
                </c:pt>
                <c:pt idx="11">
                  <c:v>34.14855072463768</c:v>
                </c:pt>
                <c:pt idx="12">
                  <c:v>35.048076923076962</c:v>
                </c:pt>
                <c:pt idx="13">
                  <c:v>33.474377056887548</c:v>
                </c:pt>
                <c:pt idx="14">
                  <c:v>32.26424126376245</c:v>
                </c:pt>
                <c:pt idx="15">
                  <c:v>33.172613307618128</c:v>
                </c:pt>
                <c:pt idx="16">
                  <c:v>33.410672853828295</c:v>
                </c:pt>
                <c:pt idx="17">
                  <c:v>33.119266055045799</c:v>
                </c:pt>
                <c:pt idx="18">
                  <c:v>33.276812208563015</c:v>
                </c:pt>
                <c:pt idx="19">
                  <c:v>32.912988650693457</c:v>
                </c:pt>
                <c:pt idx="20">
                  <c:v>33.318719859710583</c:v>
                </c:pt>
                <c:pt idx="21">
                  <c:v>34.615384615384542</c:v>
                </c:pt>
                <c:pt idx="22">
                  <c:v>33.472803347280326</c:v>
                </c:pt>
                <c:pt idx="23">
                  <c:v>32.773109243697476</c:v>
                </c:pt>
                <c:pt idx="24">
                  <c:v>33.31712062256809</c:v>
                </c:pt>
                <c:pt idx="25">
                  <c:v>33.539486203615503</c:v>
                </c:pt>
                <c:pt idx="26">
                  <c:v>33.317025440313017</c:v>
                </c:pt>
                <c:pt idx="27">
                  <c:v>33.124673969744336</c:v>
                </c:pt>
                <c:pt idx="28">
                  <c:v>32.244897959183589</c:v>
                </c:pt>
                <c:pt idx="29">
                  <c:v>34.355509355509355</c:v>
                </c:pt>
                <c:pt idx="30">
                  <c:v>33.174854727945046</c:v>
                </c:pt>
                <c:pt idx="31">
                  <c:v>32.094776521270866</c:v>
                </c:pt>
                <c:pt idx="32">
                  <c:v>33.479692645444544</c:v>
                </c:pt>
                <c:pt idx="33">
                  <c:v>34.043715846994608</c:v>
                </c:pt>
                <c:pt idx="34">
                  <c:v>33.226324237560213</c:v>
                </c:pt>
                <c:pt idx="35">
                  <c:v>33.147208121827404</c:v>
                </c:pt>
              </c:numCache>
            </c:numRef>
          </c:val>
          <c:extLst xmlns:c16r2="http://schemas.microsoft.com/office/drawing/2015/06/chart">
            <c:ext xmlns:c16="http://schemas.microsoft.com/office/drawing/2014/chart" uri="{C3380CC4-5D6E-409C-BE32-E72D297353CC}">
              <c16:uniqueId val="{00000007-487C-4024-B53A-B2CCDD0A2FAA}"/>
            </c:ext>
          </c:extLst>
        </c:ser>
        <c:marker val="1"/>
        <c:axId val="152707072"/>
        <c:axId val="152708992"/>
      </c:lineChart>
      <c:catAx>
        <c:axId val="152707072"/>
        <c:scaling>
          <c:orientation val="minMax"/>
        </c:scaling>
        <c:axPos val="b"/>
        <c:numFmt formatCode="General" sourceLinked="0"/>
        <c:tickLblPos val="nextTo"/>
        <c:txPr>
          <a:bodyPr rot="-5400000" vert="horz"/>
          <a:lstStyle/>
          <a:p>
            <a:pPr>
              <a:defRPr/>
            </a:pPr>
            <a:endParaRPr lang="fr-FR"/>
          </a:p>
        </c:txPr>
        <c:crossAx val="152708992"/>
        <c:crosses val="autoZero"/>
        <c:auto val="1"/>
        <c:lblAlgn val="ctr"/>
        <c:lblOffset val="100"/>
      </c:catAx>
      <c:valAx>
        <c:axId val="152708992"/>
        <c:scaling>
          <c:orientation val="minMax"/>
          <c:max val="100"/>
        </c:scaling>
        <c:axPos val="l"/>
        <c:majorGridlines/>
        <c:title>
          <c:tx>
            <c:rich>
              <a:bodyPr rot="0" vert="horz"/>
              <a:lstStyle/>
              <a:p>
                <a:pPr>
                  <a:defRPr/>
                </a:pPr>
                <a:r>
                  <a:rPr lang="en-US"/>
                  <a:t>%</a:t>
                </a:r>
              </a:p>
            </c:rich>
          </c:tx>
          <c:layout>
            <c:manualLayout>
              <c:xMode val="edge"/>
              <c:yMode val="edge"/>
              <c:x val="4.5051194539249162E-2"/>
              <c:y val="1.9342858905039017E-2"/>
            </c:manualLayout>
          </c:layout>
        </c:title>
        <c:numFmt formatCode="0.0" sourceLinked="1"/>
        <c:tickLblPos val="nextTo"/>
        <c:crossAx val="152707072"/>
        <c:crosses val="autoZero"/>
        <c:crossBetween val="between"/>
      </c:valAx>
    </c:plotArea>
    <c:plotVisOnly val="1"/>
    <c:dispBlanksAs val="gap"/>
  </c:chart>
  <c:txPr>
    <a:bodyPr/>
    <a:lstStyle/>
    <a:p>
      <a:pPr>
        <a:defRPr sz="800"/>
      </a:pPr>
      <a:endParaRPr lang="fr-F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0.11646</cdr:x>
      <cdr:y>0.52969</cdr:y>
    </cdr:from>
    <cdr:to>
      <cdr:x>0.18279</cdr:x>
      <cdr:y>0.56614</cdr:y>
    </cdr:to>
    <cdr:sp macro="" textlink="">
      <cdr:nvSpPr>
        <cdr:cNvPr id="2" name="ZoneTexte 1">
          <a:extLst xmlns:a="http://schemas.openxmlformats.org/drawingml/2006/main">
            <a:ext uri="{FF2B5EF4-FFF2-40B4-BE49-F238E27FC236}">
              <a16:creationId xmlns="" xmlns:a16="http://schemas.microsoft.com/office/drawing/2014/main" id="{27F3E2BE-DA81-454E-8FB3-35E817F2CD2D}"/>
            </a:ext>
          </a:extLst>
        </cdr:cNvPr>
        <cdr:cNvSpPr txBox="1"/>
      </cdr:nvSpPr>
      <cdr:spPr>
        <a:xfrm xmlns:a="http://schemas.openxmlformats.org/drawingml/2006/main">
          <a:off x="1084668" y="3223377"/>
          <a:ext cx="617672" cy="221836"/>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vertOverflow="clip" wrap="square" rtlCol="0" anchor="ctr"/>
        <a:lstStyle xmlns:a="http://schemas.openxmlformats.org/drawingml/2006/main"/>
        <a:p xmlns:a="http://schemas.openxmlformats.org/drawingml/2006/main">
          <a:pPr algn="ctr"/>
          <a:r>
            <a:rPr lang="fr-FR" sz="500"/>
            <a:t>Bac S</a:t>
          </a:r>
        </a:p>
      </cdr:txBody>
    </cdr:sp>
  </cdr:relSizeAnchor>
  <cdr:relSizeAnchor xmlns:cdr="http://schemas.openxmlformats.org/drawingml/2006/chartDrawing">
    <cdr:from>
      <cdr:x>0.20099</cdr:x>
      <cdr:y>0.81166</cdr:y>
    </cdr:from>
    <cdr:to>
      <cdr:x>0.34599</cdr:x>
      <cdr:y>0.84755</cdr:y>
    </cdr:to>
    <cdr:sp macro="" textlink="">
      <cdr:nvSpPr>
        <cdr:cNvPr id="3" name="ZoneTexte 1">
          <a:extLst xmlns:a="http://schemas.openxmlformats.org/drawingml/2006/main">
            <a:ext uri="{FF2B5EF4-FFF2-40B4-BE49-F238E27FC236}">
              <a16:creationId xmlns="" xmlns:a16="http://schemas.microsoft.com/office/drawing/2014/main" id="{8E088D06-3139-4C94-9A0E-97CEF665887C}"/>
            </a:ext>
          </a:extLst>
        </cdr:cNvPr>
        <cdr:cNvSpPr txBox="1"/>
      </cdr:nvSpPr>
      <cdr:spPr>
        <a:xfrm xmlns:a="http://schemas.openxmlformats.org/drawingml/2006/main">
          <a:off x="1871887" y="4939283"/>
          <a:ext cx="1350400" cy="218403"/>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500"/>
            <a:t>Bac Pro Production</a:t>
          </a:r>
        </a:p>
      </cdr:txBody>
    </cdr:sp>
  </cdr:relSizeAnchor>
  <cdr:relSizeAnchor xmlns:cdr="http://schemas.openxmlformats.org/drawingml/2006/chartDrawing">
    <cdr:from>
      <cdr:x>0.82303</cdr:x>
      <cdr:y>0.90348</cdr:y>
    </cdr:from>
    <cdr:to>
      <cdr:x>0.92372</cdr:x>
      <cdr:y>0.9358</cdr:y>
    </cdr:to>
    <cdr:sp macro="" textlink="">
      <cdr:nvSpPr>
        <cdr:cNvPr id="4" name="ZoneTexte 1">
          <a:extLst xmlns:a="http://schemas.openxmlformats.org/drawingml/2006/main">
            <a:ext uri="{FF2B5EF4-FFF2-40B4-BE49-F238E27FC236}">
              <a16:creationId xmlns="" xmlns:a16="http://schemas.microsoft.com/office/drawing/2014/main" id="{C18516CE-B14E-4FCA-9835-41E4561EEAEC}"/>
            </a:ext>
          </a:extLst>
        </cdr:cNvPr>
        <cdr:cNvSpPr txBox="1"/>
      </cdr:nvSpPr>
      <cdr:spPr>
        <a:xfrm xmlns:a="http://schemas.openxmlformats.org/drawingml/2006/main">
          <a:off x="7665191" y="5498029"/>
          <a:ext cx="937707" cy="196706"/>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500"/>
            <a:t>Bac STI2D</a:t>
          </a:r>
        </a:p>
      </cdr:txBody>
    </cdr:sp>
  </cdr:relSizeAnchor>
  <cdr:relSizeAnchor xmlns:cdr="http://schemas.openxmlformats.org/drawingml/2006/chartDrawing">
    <cdr:from>
      <cdr:x>0.86451</cdr:x>
      <cdr:y>0.3732</cdr:y>
    </cdr:from>
    <cdr:to>
      <cdr:x>0.94221</cdr:x>
      <cdr:y>0.40796</cdr:y>
    </cdr:to>
    <cdr:sp macro="" textlink="">
      <cdr:nvSpPr>
        <cdr:cNvPr id="5" name="ZoneTexte 1">
          <a:extLst xmlns:a="http://schemas.openxmlformats.org/drawingml/2006/main">
            <a:ext uri="{FF2B5EF4-FFF2-40B4-BE49-F238E27FC236}">
              <a16:creationId xmlns="" xmlns:a16="http://schemas.microsoft.com/office/drawing/2014/main" id="{C18516CE-B14E-4FCA-9835-41E4561EEAEC}"/>
            </a:ext>
          </a:extLst>
        </cdr:cNvPr>
        <cdr:cNvSpPr txBox="1"/>
      </cdr:nvSpPr>
      <cdr:spPr>
        <a:xfrm xmlns:a="http://schemas.openxmlformats.org/drawingml/2006/main">
          <a:off x="8051434" y="2271063"/>
          <a:ext cx="723725" cy="211517"/>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500"/>
            <a:t>Bac ES</a:t>
          </a:r>
        </a:p>
      </cdr:txBody>
    </cdr:sp>
  </cdr:relSizeAnchor>
  <cdr:relSizeAnchor xmlns:cdr="http://schemas.openxmlformats.org/drawingml/2006/chartDrawing">
    <cdr:from>
      <cdr:x>0.59921</cdr:x>
      <cdr:y>0.45942</cdr:y>
    </cdr:from>
    <cdr:to>
      <cdr:x>0.68653</cdr:x>
      <cdr:y>0.49954</cdr:y>
    </cdr:to>
    <cdr:sp macro="" textlink="">
      <cdr:nvSpPr>
        <cdr:cNvPr id="6" name="ZoneTexte 1">
          <a:extLst xmlns:a="http://schemas.openxmlformats.org/drawingml/2006/main">
            <a:ext uri="{FF2B5EF4-FFF2-40B4-BE49-F238E27FC236}">
              <a16:creationId xmlns="" xmlns:a16="http://schemas.microsoft.com/office/drawing/2014/main" id="{C18516CE-B14E-4FCA-9835-41E4561EEAEC}"/>
            </a:ext>
          </a:extLst>
        </cdr:cNvPr>
        <cdr:cNvSpPr txBox="1"/>
      </cdr:nvSpPr>
      <cdr:spPr>
        <a:xfrm xmlns:a="http://schemas.openxmlformats.org/drawingml/2006/main">
          <a:off x="5580682" y="2795759"/>
          <a:ext cx="813227" cy="244135"/>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500"/>
            <a:t>Bac STMG</a:t>
          </a:r>
        </a:p>
      </cdr:txBody>
    </cdr:sp>
  </cdr:relSizeAnchor>
  <cdr:relSizeAnchor xmlns:cdr="http://schemas.openxmlformats.org/drawingml/2006/chartDrawing">
    <cdr:from>
      <cdr:x>0.37964</cdr:x>
      <cdr:y>0.29456</cdr:y>
    </cdr:from>
    <cdr:to>
      <cdr:x>0.52986</cdr:x>
      <cdr:y>0.32969</cdr:y>
    </cdr:to>
    <cdr:sp macro="" textlink="">
      <cdr:nvSpPr>
        <cdr:cNvPr id="7" name="ZoneTexte 1">
          <a:extLst xmlns:a="http://schemas.openxmlformats.org/drawingml/2006/main">
            <a:ext uri="{FF2B5EF4-FFF2-40B4-BE49-F238E27FC236}">
              <a16:creationId xmlns="" xmlns:a16="http://schemas.microsoft.com/office/drawing/2014/main" id="{C18516CE-B14E-4FCA-9835-41E4561EEAEC}"/>
            </a:ext>
          </a:extLst>
        </cdr:cNvPr>
        <cdr:cNvSpPr txBox="1"/>
      </cdr:nvSpPr>
      <cdr:spPr>
        <a:xfrm xmlns:a="http://schemas.openxmlformats.org/drawingml/2006/main">
          <a:off x="3535679" y="1792511"/>
          <a:ext cx="1399082" cy="213819"/>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500"/>
            <a:t>Bac Pro Services</a:t>
          </a:r>
        </a:p>
      </cdr:txBody>
    </cdr:sp>
  </cdr:relSizeAnchor>
  <cdr:relSizeAnchor xmlns:cdr="http://schemas.openxmlformats.org/drawingml/2006/chartDrawing">
    <cdr:from>
      <cdr:x>0.12053</cdr:x>
      <cdr:y>0.25169</cdr:y>
    </cdr:from>
    <cdr:to>
      <cdr:x>0.1817</cdr:x>
      <cdr:y>0.2864</cdr:y>
    </cdr:to>
    <cdr:sp macro="" textlink="">
      <cdr:nvSpPr>
        <cdr:cNvPr id="8" name="ZoneTexte 1">
          <a:extLst xmlns:a="http://schemas.openxmlformats.org/drawingml/2006/main">
            <a:ext uri="{FF2B5EF4-FFF2-40B4-BE49-F238E27FC236}">
              <a16:creationId xmlns="" xmlns:a16="http://schemas.microsoft.com/office/drawing/2014/main" id="{C18516CE-B14E-4FCA-9835-41E4561EEAEC}"/>
            </a:ext>
          </a:extLst>
        </cdr:cNvPr>
        <cdr:cNvSpPr txBox="1"/>
      </cdr:nvSpPr>
      <cdr:spPr>
        <a:xfrm xmlns:a="http://schemas.openxmlformats.org/drawingml/2006/main">
          <a:off x="1122501" y="1531645"/>
          <a:ext cx="569707" cy="211227"/>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500"/>
            <a:t>Bac L</a:t>
          </a:r>
        </a:p>
      </cdr:txBody>
    </cdr:sp>
  </cdr:relSizeAnchor>
  <cdr:relSizeAnchor xmlns:cdr="http://schemas.openxmlformats.org/drawingml/2006/chartDrawing">
    <cdr:from>
      <cdr:x>0.1747</cdr:x>
      <cdr:y>0.13315</cdr:y>
    </cdr:from>
    <cdr:to>
      <cdr:x>0.25351</cdr:x>
      <cdr:y>0.16318</cdr:y>
    </cdr:to>
    <cdr:sp macro="" textlink="">
      <cdr:nvSpPr>
        <cdr:cNvPr id="9" name="ZoneTexte 1">
          <a:extLst xmlns:a="http://schemas.openxmlformats.org/drawingml/2006/main">
            <a:ext uri="{FF2B5EF4-FFF2-40B4-BE49-F238E27FC236}">
              <a16:creationId xmlns="" xmlns:a16="http://schemas.microsoft.com/office/drawing/2014/main" id="{C18516CE-B14E-4FCA-9835-41E4561EEAEC}"/>
            </a:ext>
          </a:extLst>
        </cdr:cNvPr>
        <cdr:cNvSpPr txBox="1"/>
      </cdr:nvSpPr>
      <cdr:spPr>
        <a:xfrm xmlns:a="http://schemas.openxmlformats.org/drawingml/2006/main">
          <a:off x="1627002" y="810279"/>
          <a:ext cx="733982" cy="182754"/>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500"/>
            <a:t>Bac ST2S</a:t>
          </a:r>
        </a:p>
      </cdr:txBody>
    </cdr:sp>
  </cdr:relSizeAnchor>
</c:userShapes>
</file>

<file path=word/drawings/drawing2.xml><?xml version="1.0" encoding="utf-8"?>
<c:userShapes xmlns:c="http://schemas.openxmlformats.org/drawingml/2006/chart">
  <cdr:relSizeAnchor xmlns:cdr="http://schemas.openxmlformats.org/drawingml/2006/chartDrawing">
    <cdr:from>
      <cdr:x>0.59471</cdr:x>
      <cdr:y>0.12141</cdr:y>
    </cdr:from>
    <cdr:to>
      <cdr:x>0.76451</cdr:x>
      <cdr:y>0.16057</cdr:y>
    </cdr:to>
    <cdr:sp macro="" textlink="">
      <cdr:nvSpPr>
        <cdr:cNvPr id="2" name="ZoneTexte 1"/>
        <cdr:cNvSpPr txBox="1"/>
      </cdr:nvSpPr>
      <cdr:spPr>
        <a:xfrm xmlns:a="http://schemas.openxmlformats.org/drawingml/2006/main">
          <a:off x="5532437" y="738187"/>
          <a:ext cx="1579563" cy="238125"/>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solidFill>
        </a:ln>
      </cdr:spPr>
      <cdr:txBody>
        <a:bodyPr xmlns:a="http://schemas.openxmlformats.org/drawingml/2006/main" vertOverflow="clip" wrap="square" rtlCol="0" anchor="ctr"/>
        <a:lstStyle xmlns:a="http://schemas.openxmlformats.org/drawingml/2006/main"/>
        <a:p xmlns:a="http://schemas.openxmlformats.org/drawingml/2006/main">
          <a:pPr algn="ctr"/>
          <a:r>
            <a:rPr lang="fr-FR" sz="600" b="1">
              <a:solidFill>
                <a:sysClr val="windowText" lastClr="000000"/>
              </a:solidFill>
              <a:latin typeface="+mn-lt"/>
            </a:rPr>
            <a:t>employés non qualifiés</a:t>
          </a:r>
        </a:p>
      </cdr:txBody>
    </cdr:sp>
  </cdr:relSizeAnchor>
  <cdr:relSizeAnchor xmlns:cdr="http://schemas.openxmlformats.org/drawingml/2006/chartDrawing">
    <cdr:from>
      <cdr:x>0.09819</cdr:x>
      <cdr:y>0.35175</cdr:y>
    </cdr:from>
    <cdr:to>
      <cdr:x>0.24325</cdr:x>
      <cdr:y>0.39092</cdr:y>
    </cdr:to>
    <cdr:sp macro="" textlink="">
      <cdr:nvSpPr>
        <cdr:cNvPr id="5" name="ZoneTexte 1"/>
        <cdr:cNvSpPr txBox="1"/>
      </cdr:nvSpPr>
      <cdr:spPr>
        <a:xfrm xmlns:a="http://schemas.openxmlformats.org/drawingml/2006/main">
          <a:off x="914498" y="2140527"/>
          <a:ext cx="1350992" cy="238366"/>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solidFill>
        </a:ln>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fr-FR" sz="600" b="1">
              <a:solidFill>
                <a:sysClr val="windowText" lastClr="000000"/>
              </a:solidFill>
              <a:latin typeface="+mn-lt"/>
            </a:rPr>
            <a:t>employés qualifiés</a:t>
          </a:r>
        </a:p>
      </cdr:txBody>
    </cdr:sp>
  </cdr:relSizeAnchor>
  <cdr:relSizeAnchor xmlns:cdr="http://schemas.openxmlformats.org/drawingml/2006/chartDrawing">
    <cdr:from>
      <cdr:x>0.74317</cdr:x>
      <cdr:y>0.3944</cdr:y>
    </cdr:from>
    <cdr:to>
      <cdr:x>0.93942</cdr:x>
      <cdr:y>0.43356</cdr:y>
    </cdr:to>
    <cdr:sp macro="" textlink="">
      <cdr:nvSpPr>
        <cdr:cNvPr id="8" name="ZoneTexte 1"/>
        <cdr:cNvSpPr txBox="1"/>
      </cdr:nvSpPr>
      <cdr:spPr>
        <a:xfrm xmlns:a="http://schemas.openxmlformats.org/drawingml/2006/main">
          <a:off x="4280250" y="1484132"/>
          <a:ext cx="1130293" cy="147360"/>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solidFill>
        </a:ln>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fr-FR" sz="600" b="1">
              <a:solidFill>
                <a:sysClr val="windowText" lastClr="000000"/>
              </a:solidFill>
              <a:latin typeface="+mn-lt"/>
            </a:rPr>
            <a:t>professions intermédiaires</a:t>
          </a:r>
        </a:p>
      </cdr:txBody>
    </cdr:sp>
  </cdr:relSizeAnchor>
  <cdr:relSizeAnchor xmlns:cdr="http://schemas.openxmlformats.org/drawingml/2006/chartDrawing">
    <cdr:from>
      <cdr:x>0.11225</cdr:x>
      <cdr:y>0.75604</cdr:y>
    </cdr:from>
    <cdr:to>
      <cdr:x>0.43307</cdr:x>
      <cdr:y>0.79521</cdr:y>
    </cdr:to>
    <cdr:sp macro="" textlink="">
      <cdr:nvSpPr>
        <cdr:cNvPr id="11" name="ZoneTexte 1"/>
        <cdr:cNvSpPr txBox="1"/>
      </cdr:nvSpPr>
      <cdr:spPr>
        <a:xfrm xmlns:a="http://schemas.openxmlformats.org/drawingml/2006/main">
          <a:off x="646525" y="2844995"/>
          <a:ext cx="1847747" cy="147397"/>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fr-FR" sz="600" b="1">
              <a:solidFill>
                <a:sysClr val="windowText" lastClr="000000"/>
              </a:solidFill>
              <a:latin typeface="+mn-lt"/>
            </a:rPr>
            <a:t>cadres et professions intellectuelles supérieures</a:t>
          </a:r>
        </a:p>
      </cdr:txBody>
    </cdr:sp>
  </cdr:relSizeAnchor>
  <cdr:relSizeAnchor xmlns:cdr="http://schemas.openxmlformats.org/drawingml/2006/chartDrawing">
    <cdr:from>
      <cdr:x>0.79994</cdr:x>
      <cdr:y>0.86498</cdr:y>
    </cdr:from>
    <cdr:to>
      <cdr:x>0.93134</cdr:x>
      <cdr:y>0.90414</cdr:y>
    </cdr:to>
    <cdr:sp macro="" textlink="">
      <cdr:nvSpPr>
        <cdr:cNvPr id="14" name="ZoneTexte 1"/>
        <cdr:cNvSpPr txBox="1"/>
      </cdr:nvSpPr>
      <cdr:spPr>
        <a:xfrm xmlns:a="http://schemas.openxmlformats.org/drawingml/2006/main">
          <a:off x="4607213" y="3254937"/>
          <a:ext cx="756792" cy="147359"/>
        </a:xfrm>
        <a:prstGeom xmlns:a="http://schemas.openxmlformats.org/drawingml/2006/main" prst="rect">
          <a:avLst/>
        </a:prstGeom>
        <a:solidFill xmlns:a="http://schemas.openxmlformats.org/drawingml/2006/main">
          <a:sysClr val="window" lastClr="FFFFFF"/>
        </a:solidFill>
        <a:ln xmlns:a="http://schemas.openxmlformats.org/drawingml/2006/main">
          <a:solidFill>
            <a:sysClr val="windowText" lastClr="000000"/>
          </a:solidFill>
        </a:ln>
      </cdr:spPr>
      <cdr:txBody>
        <a:bodyPr xmlns:a="http://schemas.openxmlformats.org/drawingml/2006/main" wrap="squar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fr-FR" sz="600" b="1">
              <a:solidFill>
                <a:sysClr val="windowText" lastClr="000000"/>
              </a:solidFill>
              <a:latin typeface="+mn-lt"/>
            </a:rPr>
            <a:t>ouvriers qualifiés</a:t>
          </a:r>
        </a:p>
      </cdr:txBody>
    </cdr:sp>
  </cdr:relSizeAnchor>
  <cdr:relSizeAnchor xmlns:cdr="http://schemas.openxmlformats.org/drawingml/2006/chartDrawing">
    <cdr:from>
      <cdr:x>0.07594</cdr:x>
      <cdr:y>0.67363</cdr:y>
    </cdr:from>
    <cdr:to>
      <cdr:x>0.23624</cdr:x>
      <cdr:y>0.70178</cdr:y>
    </cdr:to>
    <cdr:sp macro="" textlink="">
      <cdr:nvSpPr>
        <cdr:cNvPr id="18" name="ZoneTexte 1"/>
        <cdr:cNvSpPr txBox="1"/>
      </cdr:nvSpPr>
      <cdr:spPr>
        <a:xfrm xmlns:a="http://schemas.openxmlformats.org/drawingml/2006/main">
          <a:off x="437373" y="2534877"/>
          <a:ext cx="923254" cy="105912"/>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600" b="1">
              <a:solidFill>
                <a:sysClr val="windowText" lastClr="000000"/>
              </a:solidFill>
              <a:latin typeface="+mn-lt"/>
            </a:rPr>
            <a:t>ouvriers non qualifiés</a:t>
          </a:r>
        </a:p>
      </cdr:txBody>
    </cdr:sp>
  </cdr:relSizeAnchor>
  <cdr:relSizeAnchor xmlns:cdr="http://schemas.openxmlformats.org/drawingml/2006/chartDrawing">
    <cdr:from>
      <cdr:x>0.58276</cdr:x>
      <cdr:y>0.74413</cdr:y>
    </cdr:from>
    <cdr:to>
      <cdr:x>0.87799</cdr:x>
      <cdr:y>0.78329</cdr:y>
    </cdr:to>
    <cdr:sp macro="" textlink="">
      <cdr:nvSpPr>
        <cdr:cNvPr id="21" name="ZoneTexte 1"/>
        <cdr:cNvSpPr txBox="1"/>
      </cdr:nvSpPr>
      <cdr:spPr>
        <a:xfrm xmlns:a="http://schemas.openxmlformats.org/drawingml/2006/main">
          <a:off x="5421312" y="4524375"/>
          <a:ext cx="2746376" cy="238125"/>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600" b="1">
              <a:solidFill>
                <a:sysClr val="windowText" lastClr="000000"/>
              </a:solidFill>
              <a:latin typeface="+mn-lt"/>
            </a:rPr>
            <a:t>artisans, commerçants,</a:t>
          </a:r>
          <a:r>
            <a:rPr lang="fr-FR" sz="600" b="1" baseline="0">
              <a:solidFill>
                <a:sysClr val="windowText" lastClr="000000"/>
              </a:solidFill>
              <a:latin typeface="+mn-lt"/>
            </a:rPr>
            <a:t> chefs d'entreprise</a:t>
          </a:r>
          <a:endParaRPr lang="fr-FR" sz="600" b="1">
            <a:solidFill>
              <a:sysClr val="windowText" lastClr="000000"/>
            </a:solidFill>
            <a:latin typeface="+mn-lt"/>
          </a:endParaRPr>
        </a:p>
      </cdr:txBody>
    </cdr:sp>
  </cdr:relSizeAnchor>
  <cdr:relSizeAnchor xmlns:cdr="http://schemas.openxmlformats.org/drawingml/2006/chartDrawing">
    <cdr:from>
      <cdr:x>0.34623</cdr:x>
      <cdr:y>0.36646</cdr:y>
    </cdr:from>
    <cdr:to>
      <cdr:x>0.51858</cdr:x>
      <cdr:y>0.40562</cdr:y>
    </cdr:to>
    <cdr:sp macro="" textlink="">
      <cdr:nvSpPr>
        <cdr:cNvPr id="25" name="ZoneTexte 1"/>
        <cdr:cNvSpPr txBox="1"/>
      </cdr:nvSpPr>
      <cdr:spPr>
        <a:xfrm xmlns:a="http://schemas.openxmlformats.org/drawingml/2006/main">
          <a:off x="3224538" y="2230061"/>
          <a:ext cx="1605153" cy="238305"/>
        </a:xfrm>
        <a:prstGeom xmlns:a="http://schemas.openxmlformats.org/drawingml/2006/main" prst="rect">
          <a:avLst/>
        </a:prstGeom>
        <a:solidFill xmlns:a="http://schemas.openxmlformats.org/drawingml/2006/main">
          <a:schemeClr val="bg1"/>
        </a:solidFill>
        <a:ln xmlns:a="http://schemas.openxmlformats.org/drawingml/2006/main">
          <a:solidFill>
            <a:sysClr val="windowText" lastClr="000000"/>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fr-FR" sz="600" b="1">
              <a:solidFill>
                <a:sysClr val="windowText" lastClr="000000"/>
              </a:solidFill>
              <a:latin typeface="+mn-lt"/>
            </a:rPr>
            <a:t>agriculteurs exploitants</a:t>
          </a:r>
        </a:p>
      </cdr:txBody>
    </cdr:sp>
  </cdr:relSizeAnchor>
  <cdr:relSizeAnchor xmlns:cdr="http://schemas.openxmlformats.org/drawingml/2006/chartDrawing">
    <cdr:from>
      <cdr:x>0.17072</cdr:x>
      <cdr:y>0.29855</cdr:y>
    </cdr:from>
    <cdr:to>
      <cdr:x>0.1875</cdr:x>
      <cdr:y>0.35175</cdr:y>
    </cdr:to>
    <cdr:cxnSp macro="">
      <cdr:nvCxnSpPr>
        <cdr:cNvPr id="6" name="Connecteur droit avec flèche 5">
          <a:extLst xmlns:a="http://schemas.openxmlformats.org/drawingml/2006/main">
            <a:ext uri="{FF2B5EF4-FFF2-40B4-BE49-F238E27FC236}">
              <a16:creationId xmlns="" xmlns:a16="http://schemas.microsoft.com/office/drawing/2014/main" id="{EC42B7BB-2A5E-47D6-9B21-509E81D252DB}"/>
            </a:ext>
          </a:extLst>
        </cdr:cNvPr>
        <cdr:cNvCxnSpPr>
          <a:stCxn xmlns:a="http://schemas.openxmlformats.org/drawingml/2006/main" id="5" idx="0"/>
        </cdr:cNvCxnSpPr>
      </cdr:nvCxnSpPr>
      <cdr:spPr>
        <a:xfrm xmlns:a="http://schemas.openxmlformats.org/drawingml/2006/main" flipV="1">
          <a:off x="1589994" y="1816805"/>
          <a:ext cx="156256" cy="323722"/>
        </a:xfrm>
        <a:prstGeom xmlns:a="http://schemas.openxmlformats.org/drawingml/2006/main" prst="straightConnector1">
          <a:avLst/>
        </a:prstGeom>
        <a:ln xmlns:a="http://schemas.openxmlformats.org/drawingml/2006/main">
          <a:solidFill>
            <a:sysClr val="windowText" lastClr="0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0.42986</cdr:x>
      <cdr:y>0.38424</cdr:y>
    </cdr:from>
    <cdr:to>
      <cdr:x>0.50882</cdr:x>
      <cdr:y>0.58806</cdr:y>
    </cdr:to>
    <cdr:cxnSp macro="">
      <cdr:nvCxnSpPr>
        <cdr:cNvPr id="19" name="Connecteur droit avec flèche 18">
          <a:extLst xmlns:a="http://schemas.openxmlformats.org/drawingml/2006/main">
            <a:ext uri="{FF2B5EF4-FFF2-40B4-BE49-F238E27FC236}">
              <a16:creationId xmlns="" xmlns:a16="http://schemas.microsoft.com/office/drawing/2014/main" id="{681D14CA-6820-440B-A27F-CE1A6058FDBC}"/>
            </a:ext>
          </a:extLst>
        </cdr:cNvPr>
        <cdr:cNvCxnSpPr/>
      </cdr:nvCxnSpPr>
      <cdr:spPr>
        <a:xfrm xmlns:a="http://schemas.openxmlformats.org/drawingml/2006/main">
          <a:off x="2475756" y="1445885"/>
          <a:ext cx="454766" cy="766977"/>
        </a:xfrm>
        <a:prstGeom xmlns:a="http://schemas.openxmlformats.org/drawingml/2006/main" prst="straightConnector1">
          <a:avLst/>
        </a:prstGeom>
        <a:ln xmlns:a="http://schemas.openxmlformats.org/drawingml/2006/main">
          <a:solidFill>
            <a:sysClr val="windowText" lastClr="0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0.67961</cdr:x>
      <cdr:y>0.16057</cdr:y>
    </cdr:from>
    <cdr:to>
      <cdr:x>0.69603</cdr:x>
      <cdr:y>0.243</cdr:y>
    </cdr:to>
    <cdr:cxnSp macro="">
      <cdr:nvCxnSpPr>
        <cdr:cNvPr id="26" name="Connecteur droit avec flèche 25">
          <a:extLst xmlns:a="http://schemas.openxmlformats.org/drawingml/2006/main">
            <a:ext uri="{FF2B5EF4-FFF2-40B4-BE49-F238E27FC236}">
              <a16:creationId xmlns="" xmlns:a16="http://schemas.microsoft.com/office/drawing/2014/main" id="{AB47C97E-970B-4C31-AA49-809965F73723}"/>
            </a:ext>
          </a:extLst>
        </cdr:cNvPr>
        <cdr:cNvCxnSpPr>
          <a:stCxn xmlns:a="http://schemas.openxmlformats.org/drawingml/2006/main" id="2" idx="2"/>
        </cdr:cNvCxnSpPr>
      </cdr:nvCxnSpPr>
      <cdr:spPr>
        <a:xfrm xmlns:a="http://schemas.openxmlformats.org/drawingml/2006/main">
          <a:off x="3914180" y="604227"/>
          <a:ext cx="94549" cy="310173"/>
        </a:xfrm>
        <a:prstGeom xmlns:a="http://schemas.openxmlformats.org/drawingml/2006/main" prst="straightConnector1">
          <a:avLst/>
        </a:prstGeom>
        <a:ln xmlns:a="http://schemas.openxmlformats.org/drawingml/2006/main">
          <a:solidFill>
            <a:sysClr val="windowText" lastClr="0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0.8413</cdr:x>
      <cdr:y>0.43356</cdr:y>
    </cdr:from>
    <cdr:to>
      <cdr:x>0.86279</cdr:x>
      <cdr:y>0.47344</cdr:y>
    </cdr:to>
    <cdr:cxnSp macro="">
      <cdr:nvCxnSpPr>
        <cdr:cNvPr id="29" name="Connecteur droit avec flèche 28">
          <a:extLst xmlns:a="http://schemas.openxmlformats.org/drawingml/2006/main">
            <a:ext uri="{FF2B5EF4-FFF2-40B4-BE49-F238E27FC236}">
              <a16:creationId xmlns="" xmlns:a16="http://schemas.microsoft.com/office/drawing/2014/main" id="{B5F56112-A012-416A-A5B5-57047D14E522}"/>
            </a:ext>
          </a:extLst>
        </cdr:cNvPr>
        <cdr:cNvCxnSpPr>
          <a:stCxn xmlns:a="http://schemas.openxmlformats.org/drawingml/2006/main" id="8" idx="2"/>
        </cdr:cNvCxnSpPr>
      </cdr:nvCxnSpPr>
      <cdr:spPr>
        <a:xfrm xmlns:a="http://schemas.openxmlformats.org/drawingml/2006/main">
          <a:off x="4845425" y="1631492"/>
          <a:ext cx="123771" cy="150068"/>
        </a:xfrm>
        <a:prstGeom xmlns:a="http://schemas.openxmlformats.org/drawingml/2006/main" prst="straightConnector1">
          <a:avLst/>
        </a:prstGeom>
        <a:ln xmlns:a="http://schemas.openxmlformats.org/drawingml/2006/main">
          <a:solidFill>
            <a:sysClr val="windowText" lastClr="0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0.15609</cdr:x>
      <cdr:y>0.64274</cdr:y>
    </cdr:from>
    <cdr:to>
      <cdr:x>0.16864</cdr:x>
      <cdr:y>0.67363</cdr:y>
    </cdr:to>
    <cdr:cxnSp macro="">
      <cdr:nvCxnSpPr>
        <cdr:cNvPr id="31" name="Connecteur droit avec flèche 30">
          <a:extLst xmlns:a="http://schemas.openxmlformats.org/drawingml/2006/main">
            <a:ext uri="{FF2B5EF4-FFF2-40B4-BE49-F238E27FC236}">
              <a16:creationId xmlns="" xmlns:a16="http://schemas.microsoft.com/office/drawing/2014/main" id="{BAF5AA8A-A89B-42D1-AF29-3341EC84784A}"/>
            </a:ext>
          </a:extLst>
        </cdr:cNvPr>
        <cdr:cNvCxnSpPr>
          <a:stCxn xmlns:a="http://schemas.openxmlformats.org/drawingml/2006/main" id="18" idx="0"/>
        </cdr:cNvCxnSpPr>
      </cdr:nvCxnSpPr>
      <cdr:spPr>
        <a:xfrm xmlns:a="http://schemas.openxmlformats.org/drawingml/2006/main" flipV="1">
          <a:off x="899000" y="2418639"/>
          <a:ext cx="72274" cy="116238"/>
        </a:xfrm>
        <a:prstGeom xmlns:a="http://schemas.openxmlformats.org/drawingml/2006/main" prst="straightConnector1">
          <a:avLst/>
        </a:prstGeom>
        <a:ln xmlns:a="http://schemas.openxmlformats.org/drawingml/2006/main">
          <a:solidFill>
            <a:sysClr val="windowText" lastClr="0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0.60657</cdr:x>
      <cdr:y>0.66992</cdr:y>
    </cdr:from>
    <cdr:to>
      <cdr:x>0.73038</cdr:x>
      <cdr:y>0.74413</cdr:y>
    </cdr:to>
    <cdr:cxnSp macro="">
      <cdr:nvCxnSpPr>
        <cdr:cNvPr id="33" name="Connecteur droit avec flèche 32">
          <a:extLst xmlns:a="http://schemas.openxmlformats.org/drawingml/2006/main">
            <a:ext uri="{FF2B5EF4-FFF2-40B4-BE49-F238E27FC236}">
              <a16:creationId xmlns="" xmlns:a16="http://schemas.microsoft.com/office/drawing/2014/main" id="{D5355EA4-3F99-401A-8559-473726F4226B}"/>
            </a:ext>
          </a:extLst>
        </cdr:cNvPr>
        <cdr:cNvCxnSpPr>
          <a:stCxn xmlns:a="http://schemas.openxmlformats.org/drawingml/2006/main" id="21" idx="0"/>
        </cdr:cNvCxnSpPr>
      </cdr:nvCxnSpPr>
      <cdr:spPr>
        <a:xfrm xmlns:a="http://schemas.openxmlformats.org/drawingml/2006/main" flipH="1" flipV="1">
          <a:off x="3493516" y="2520917"/>
          <a:ext cx="713043" cy="279252"/>
        </a:xfrm>
        <a:prstGeom xmlns:a="http://schemas.openxmlformats.org/drawingml/2006/main" prst="straightConnector1">
          <a:avLst/>
        </a:prstGeom>
        <a:ln xmlns:a="http://schemas.openxmlformats.org/drawingml/2006/main">
          <a:solidFill>
            <a:sysClr val="windowText" lastClr="0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0.27266</cdr:x>
      <cdr:y>0.67935</cdr:y>
    </cdr:from>
    <cdr:to>
      <cdr:x>0.32244</cdr:x>
      <cdr:y>0.75604</cdr:y>
    </cdr:to>
    <cdr:cxnSp macro="">
      <cdr:nvCxnSpPr>
        <cdr:cNvPr id="36" name="Connecteur droit avec flèche 35">
          <a:extLst xmlns:a="http://schemas.openxmlformats.org/drawingml/2006/main">
            <a:ext uri="{FF2B5EF4-FFF2-40B4-BE49-F238E27FC236}">
              <a16:creationId xmlns="" xmlns:a16="http://schemas.microsoft.com/office/drawing/2014/main" id="{69467C54-B7D8-4BBE-BDC6-74DEFE34CEC1}"/>
            </a:ext>
          </a:extLst>
        </cdr:cNvPr>
        <cdr:cNvCxnSpPr>
          <a:stCxn xmlns:a="http://schemas.openxmlformats.org/drawingml/2006/main" id="11" idx="0"/>
        </cdr:cNvCxnSpPr>
      </cdr:nvCxnSpPr>
      <cdr:spPr>
        <a:xfrm xmlns:a="http://schemas.openxmlformats.org/drawingml/2006/main" flipV="1">
          <a:off x="1570399" y="2556410"/>
          <a:ext cx="286705" cy="288585"/>
        </a:xfrm>
        <a:prstGeom xmlns:a="http://schemas.openxmlformats.org/drawingml/2006/main" prst="straightConnector1">
          <a:avLst/>
        </a:prstGeom>
        <a:ln xmlns:a="http://schemas.openxmlformats.org/drawingml/2006/main">
          <a:solidFill>
            <a:sysClr val="windowText" lastClr="0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0.86564</cdr:x>
      <cdr:y>0.80675</cdr:y>
    </cdr:from>
    <cdr:to>
      <cdr:x>0.88146</cdr:x>
      <cdr:y>0.86498</cdr:y>
    </cdr:to>
    <cdr:cxnSp macro="">
      <cdr:nvCxnSpPr>
        <cdr:cNvPr id="39" name="Connecteur droit avec flèche 38">
          <a:extLst xmlns:a="http://schemas.openxmlformats.org/drawingml/2006/main">
            <a:ext uri="{FF2B5EF4-FFF2-40B4-BE49-F238E27FC236}">
              <a16:creationId xmlns="" xmlns:a16="http://schemas.microsoft.com/office/drawing/2014/main" id="{FE3CB60E-3CE6-4965-8E6B-1A5B9CD4C3D0}"/>
            </a:ext>
          </a:extLst>
        </cdr:cNvPr>
        <cdr:cNvCxnSpPr>
          <a:stCxn xmlns:a="http://schemas.openxmlformats.org/drawingml/2006/main" id="14" idx="0"/>
        </cdr:cNvCxnSpPr>
      </cdr:nvCxnSpPr>
      <cdr:spPr>
        <a:xfrm xmlns:a="http://schemas.openxmlformats.org/drawingml/2006/main" flipV="1">
          <a:off x="4985609" y="3035808"/>
          <a:ext cx="91139" cy="219129"/>
        </a:xfrm>
        <a:prstGeom xmlns:a="http://schemas.openxmlformats.org/drawingml/2006/main" prst="straightConnector1">
          <a:avLst/>
        </a:prstGeom>
        <a:ln xmlns:a="http://schemas.openxmlformats.org/drawingml/2006/main">
          <a:solidFill>
            <a:sysClr val="windowText" lastClr="00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1603</Words>
  <Characters>8819</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10</cp:revision>
  <cp:lastPrinted>2019-06-30T06:23:00Z</cp:lastPrinted>
  <dcterms:created xsi:type="dcterms:W3CDTF">2019-06-29T10:11:00Z</dcterms:created>
  <dcterms:modified xsi:type="dcterms:W3CDTF">2019-06-30T06:23:00Z</dcterms:modified>
</cp:coreProperties>
</file>