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287998" w:rsidRPr="00287998" w:rsidTr="00883B4C">
        <w:tc>
          <w:tcPr>
            <w:tcW w:w="10606" w:type="dxa"/>
            <w:shd w:val="clear" w:color="auto" w:fill="auto"/>
          </w:tcPr>
          <w:p w:rsidR="00287998" w:rsidRPr="00970F37" w:rsidRDefault="00992614" w:rsidP="00970F37">
            <w:pPr>
              <w:pStyle w:val="Sansinterligne"/>
              <w:jc w:val="center"/>
              <w:rPr>
                <w:b/>
                <w:bCs w:val="0"/>
                <w:sz w:val="32"/>
                <w:szCs w:val="32"/>
              </w:rPr>
            </w:pPr>
            <w:r w:rsidRPr="00970F37">
              <w:rPr>
                <w:b/>
                <w:bCs w:val="0"/>
                <w:sz w:val="32"/>
                <w:szCs w:val="32"/>
              </w:rPr>
              <w:t>Comment se forment les prix sur un marché</w:t>
            </w:r>
            <w:r w:rsidR="00105A04" w:rsidRPr="00970F37">
              <w:rPr>
                <w:b/>
                <w:bCs w:val="0"/>
                <w:sz w:val="32"/>
                <w:szCs w:val="32"/>
              </w:rPr>
              <w:t xml:space="preserve"> (</w:t>
            </w:r>
            <w:r w:rsidR="00443855" w:rsidRPr="00970F37">
              <w:rPr>
                <w:b/>
                <w:bCs w:val="0"/>
                <w:sz w:val="32"/>
                <w:szCs w:val="32"/>
              </w:rPr>
              <w:t>2</w:t>
            </w:r>
            <w:r w:rsidR="00105A04" w:rsidRPr="00970F37">
              <w:rPr>
                <w:b/>
                <w:bCs w:val="0"/>
                <w:sz w:val="32"/>
                <w:szCs w:val="32"/>
              </w:rPr>
              <w:t>/3)</w:t>
            </w:r>
          </w:p>
          <w:p w:rsidR="00287998" w:rsidRPr="00970F37" w:rsidRDefault="00287998" w:rsidP="00970F37">
            <w:pPr>
              <w:pStyle w:val="Sansinterligne"/>
              <w:jc w:val="center"/>
              <w:rPr>
                <w:b/>
                <w:bCs w:val="0"/>
                <w:sz w:val="32"/>
                <w:szCs w:val="32"/>
              </w:rPr>
            </w:pPr>
            <w:r w:rsidRPr="00970F37">
              <w:rPr>
                <w:b/>
                <w:bCs w:val="0"/>
                <w:sz w:val="32"/>
                <w:szCs w:val="32"/>
              </w:rPr>
              <w:t>--</w:t>
            </w:r>
          </w:p>
          <w:p w:rsidR="00287998" w:rsidRPr="00970F37" w:rsidRDefault="00443855" w:rsidP="00970F37">
            <w:pPr>
              <w:pStyle w:val="Sansinterligne"/>
              <w:jc w:val="center"/>
              <w:rPr>
                <w:b/>
                <w:bCs w:val="0"/>
                <w:sz w:val="32"/>
                <w:szCs w:val="32"/>
              </w:rPr>
            </w:pPr>
            <w:r w:rsidRPr="00970F37">
              <w:rPr>
                <w:b/>
                <w:bCs w:val="0"/>
                <w:sz w:val="32"/>
                <w:szCs w:val="32"/>
              </w:rPr>
              <w:t>Comment s’ajustent les prix sur un marché</w:t>
            </w:r>
            <w:r w:rsidR="00105A04" w:rsidRPr="00970F37">
              <w:rPr>
                <w:b/>
                <w:bCs w:val="0"/>
                <w:sz w:val="32"/>
                <w:szCs w:val="32"/>
              </w:rPr>
              <w:t> ?</w:t>
            </w:r>
          </w:p>
          <w:p w:rsidR="0064703D" w:rsidRPr="00970F37" w:rsidRDefault="0064703D" w:rsidP="00970F37">
            <w:pPr>
              <w:pStyle w:val="Sansinterligne"/>
              <w:jc w:val="center"/>
              <w:rPr>
                <w:b/>
                <w:bCs w:val="0"/>
                <w:sz w:val="32"/>
                <w:szCs w:val="32"/>
              </w:rPr>
            </w:pPr>
            <w:r w:rsidRPr="00970F37">
              <w:rPr>
                <w:b/>
                <w:bCs w:val="0"/>
                <w:sz w:val="32"/>
                <w:szCs w:val="32"/>
              </w:rPr>
              <w:t>--</w:t>
            </w:r>
          </w:p>
          <w:p w:rsidR="0064703D" w:rsidRPr="00883B4C" w:rsidRDefault="0064703D" w:rsidP="00970F37">
            <w:pPr>
              <w:pStyle w:val="Sansinterligne"/>
              <w:jc w:val="center"/>
            </w:pPr>
            <w:r w:rsidRPr="00970F37">
              <w:rPr>
                <w:b/>
                <w:bCs w:val="0"/>
                <w:sz w:val="32"/>
                <w:szCs w:val="32"/>
              </w:rPr>
              <w:t>Fichier d’activités</w:t>
            </w:r>
          </w:p>
        </w:tc>
      </w:tr>
    </w:tbl>
    <w:p w:rsidR="00EE5BDA" w:rsidRDefault="00EE5BDA" w:rsidP="005E6B69">
      <w:pPr>
        <w:pBdr>
          <w:bottom w:val="single" w:sz="4" w:space="1" w:color="auto"/>
        </w:pBdr>
        <w:jc w:val="center"/>
        <w:rPr>
          <w:rFonts w:ascii="Calibri Light" w:hAnsi="Calibri Light"/>
          <w:b/>
          <w:color w:val="000000"/>
          <w:sz w:val="32"/>
          <w:szCs w:val="32"/>
        </w:rPr>
      </w:pPr>
    </w:p>
    <w:p w:rsidR="00BD42B7" w:rsidRPr="00883B4C" w:rsidRDefault="001B6B65" w:rsidP="005E6B69">
      <w:pPr>
        <w:pBdr>
          <w:bottom w:val="single" w:sz="4" w:space="1" w:color="auto"/>
        </w:pBdr>
        <w:jc w:val="center"/>
        <w:rPr>
          <w:rStyle w:val="Lienhypertexte"/>
          <w:rFonts w:ascii="Calibri Light" w:hAnsi="Calibri Light"/>
          <w:b/>
          <w:color w:val="000000"/>
          <w:sz w:val="32"/>
          <w:szCs w:val="32"/>
          <w:u w:val="none"/>
        </w:rPr>
      </w:pPr>
      <w:r w:rsidRPr="00883B4C">
        <w:rPr>
          <w:rFonts w:ascii="Calibri Light" w:hAnsi="Calibri Light"/>
          <w:b/>
          <w:color w:val="000000"/>
          <w:sz w:val="32"/>
          <w:szCs w:val="32"/>
        </w:rPr>
        <w:t xml:space="preserve">Etape </w:t>
      </w:r>
      <w:r w:rsidR="00992614" w:rsidRPr="00883B4C">
        <w:rPr>
          <w:rFonts w:ascii="Calibri Light" w:hAnsi="Calibri Light"/>
          <w:b/>
          <w:color w:val="000000"/>
          <w:sz w:val="32"/>
          <w:szCs w:val="32"/>
        </w:rPr>
        <w:t>1</w:t>
      </w:r>
      <w:r w:rsidR="008746BE" w:rsidRPr="00883B4C">
        <w:rPr>
          <w:rFonts w:ascii="Calibri Light" w:hAnsi="Calibri Light"/>
          <w:b/>
          <w:color w:val="000000"/>
          <w:sz w:val="32"/>
          <w:szCs w:val="32"/>
        </w:rPr>
        <w:t xml:space="preserve"> : </w:t>
      </w:r>
      <w:r w:rsidR="00992614" w:rsidRPr="00883B4C">
        <w:rPr>
          <w:rFonts w:ascii="Calibri Light" w:hAnsi="Calibri Light"/>
          <w:b/>
          <w:color w:val="000000"/>
          <w:sz w:val="32"/>
          <w:szCs w:val="32"/>
        </w:rPr>
        <w:t xml:space="preserve">vérification des connaissances </w:t>
      </w:r>
    </w:p>
    <w:p w:rsidR="00A7222E" w:rsidRDefault="00EC540B" w:rsidP="00970F37">
      <w:pPr>
        <w:pStyle w:val="Sansinterligne"/>
      </w:pPr>
      <w:r w:rsidRPr="00942073">
        <w:t xml:space="preserve"> </w:t>
      </w:r>
      <w:r w:rsidR="00992614" w:rsidRPr="00890E6E">
        <w:rPr>
          <w:b/>
        </w:rPr>
        <w:t>Exercice 1</w:t>
      </w:r>
      <w:r w:rsidR="00992614">
        <w:t> : Vrai ou faux</w:t>
      </w:r>
    </w:p>
    <w:p w:rsidR="00992614" w:rsidRDefault="00992614" w:rsidP="00970F37">
      <w:pPr>
        <w:pStyle w:val="Sansinterlig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850"/>
        <w:gridCol w:w="4261"/>
      </w:tblGrid>
      <w:tr w:rsidR="009509DD" w:rsidTr="00970F37">
        <w:tc>
          <w:tcPr>
            <w:tcW w:w="5495" w:type="dxa"/>
            <w:shd w:val="clear" w:color="auto" w:fill="auto"/>
          </w:tcPr>
          <w:p w:rsidR="00992614" w:rsidRPr="00883B4C" w:rsidRDefault="00992614" w:rsidP="00970F37">
            <w:pPr>
              <w:pStyle w:val="Sansinterligne"/>
            </w:pPr>
          </w:p>
        </w:tc>
        <w:tc>
          <w:tcPr>
            <w:tcW w:w="850" w:type="dxa"/>
            <w:shd w:val="clear" w:color="auto" w:fill="auto"/>
          </w:tcPr>
          <w:p w:rsidR="00992614" w:rsidRPr="00711876" w:rsidRDefault="00992614" w:rsidP="00970F37">
            <w:pPr>
              <w:pStyle w:val="Sansinterligne"/>
            </w:pPr>
            <w:r w:rsidRPr="00711876">
              <w:t>Vrai / faux</w:t>
            </w:r>
          </w:p>
        </w:tc>
        <w:tc>
          <w:tcPr>
            <w:tcW w:w="4261" w:type="dxa"/>
            <w:shd w:val="clear" w:color="auto" w:fill="auto"/>
          </w:tcPr>
          <w:p w:rsidR="00AC35D6" w:rsidRDefault="00AC35D6" w:rsidP="00970F37">
            <w:pPr>
              <w:pStyle w:val="Sansinterligne"/>
            </w:pPr>
            <w:r>
              <w:t xml:space="preserve">                 </w:t>
            </w:r>
          </w:p>
          <w:p w:rsidR="00992614" w:rsidRPr="00711876" w:rsidRDefault="00AC35D6" w:rsidP="00970F37">
            <w:pPr>
              <w:pStyle w:val="Sansinterligne"/>
            </w:pPr>
            <w:r>
              <w:t xml:space="preserve">                       </w:t>
            </w:r>
            <w:r w:rsidR="00890E6E" w:rsidRPr="00711876">
              <w:t xml:space="preserve"> </w:t>
            </w:r>
            <w:r w:rsidR="00992614" w:rsidRPr="00711876">
              <w:t>Justification</w:t>
            </w:r>
          </w:p>
        </w:tc>
      </w:tr>
      <w:tr w:rsidR="009509DD" w:rsidTr="00970F37">
        <w:tc>
          <w:tcPr>
            <w:tcW w:w="5495" w:type="dxa"/>
            <w:shd w:val="clear" w:color="auto" w:fill="auto"/>
          </w:tcPr>
          <w:p w:rsidR="00992614" w:rsidRPr="00711876" w:rsidRDefault="00544CBD" w:rsidP="00970F37">
            <w:pPr>
              <w:pStyle w:val="Sansinterligne"/>
            </w:pPr>
            <w:r w:rsidRPr="00711876">
              <w:t>L’équilibre de marché est fixe, il ne se déplace pas</w:t>
            </w:r>
          </w:p>
          <w:p w:rsidR="00711876" w:rsidRPr="00711876" w:rsidRDefault="00711876" w:rsidP="00970F37">
            <w:pPr>
              <w:pStyle w:val="Sansinterligne"/>
            </w:pPr>
          </w:p>
        </w:tc>
        <w:tc>
          <w:tcPr>
            <w:tcW w:w="850" w:type="dxa"/>
            <w:shd w:val="clear" w:color="auto" w:fill="auto"/>
          </w:tcPr>
          <w:p w:rsidR="00992614" w:rsidRPr="00883B4C" w:rsidRDefault="00992614" w:rsidP="00970F37">
            <w:pPr>
              <w:pStyle w:val="Sansinterligne"/>
            </w:pPr>
          </w:p>
        </w:tc>
        <w:tc>
          <w:tcPr>
            <w:tcW w:w="4261" w:type="dxa"/>
            <w:shd w:val="clear" w:color="auto" w:fill="auto"/>
          </w:tcPr>
          <w:p w:rsidR="00992614" w:rsidRPr="00883B4C" w:rsidRDefault="00992614" w:rsidP="00970F37">
            <w:pPr>
              <w:pStyle w:val="Sansinterligne"/>
            </w:pPr>
          </w:p>
        </w:tc>
      </w:tr>
      <w:tr w:rsidR="009509DD" w:rsidTr="00970F37">
        <w:tc>
          <w:tcPr>
            <w:tcW w:w="5495" w:type="dxa"/>
            <w:shd w:val="clear" w:color="auto" w:fill="auto"/>
          </w:tcPr>
          <w:p w:rsidR="00890E6E" w:rsidRPr="00711876" w:rsidRDefault="00544CBD" w:rsidP="00970F37">
            <w:pPr>
              <w:pStyle w:val="Sansinterligne"/>
            </w:pPr>
            <w:r w:rsidRPr="00711876">
              <w:t>Lorsque la demande augmente, la droite de demande se déplace vers la gauche.</w:t>
            </w:r>
          </w:p>
        </w:tc>
        <w:tc>
          <w:tcPr>
            <w:tcW w:w="850" w:type="dxa"/>
            <w:shd w:val="clear" w:color="auto" w:fill="auto"/>
          </w:tcPr>
          <w:p w:rsidR="00992614" w:rsidRPr="00883B4C" w:rsidRDefault="00992614" w:rsidP="00970F37">
            <w:pPr>
              <w:pStyle w:val="Sansinterligne"/>
            </w:pPr>
          </w:p>
        </w:tc>
        <w:tc>
          <w:tcPr>
            <w:tcW w:w="4261" w:type="dxa"/>
            <w:shd w:val="clear" w:color="auto" w:fill="auto"/>
          </w:tcPr>
          <w:p w:rsidR="00992614" w:rsidRPr="00883B4C" w:rsidRDefault="00992614" w:rsidP="00970F37">
            <w:pPr>
              <w:pStyle w:val="Sansinterligne"/>
            </w:pPr>
          </w:p>
        </w:tc>
      </w:tr>
      <w:tr w:rsidR="00AF7F33" w:rsidTr="00970F37">
        <w:tc>
          <w:tcPr>
            <w:tcW w:w="5495" w:type="dxa"/>
            <w:shd w:val="clear" w:color="auto" w:fill="auto"/>
          </w:tcPr>
          <w:p w:rsidR="00AF7F33" w:rsidRPr="00711876" w:rsidRDefault="00515325" w:rsidP="00970F37">
            <w:pPr>
              <w:pStyle w:val="Sansinterligne"/>
            </w:pPr>
            <w:r w:rsidRPr="00711876">
              <w:t>Lorsque l’offre augmente, la droite d’offre se déplace vers la droite.</w:t>
            </w:r>
          </w:p>
        </w:tc>
        <w:tc>
          <w:tcPr>
            <w:tcW w:w="850" w:type="dxa"/>
            <w:shd w:val="clear" w:color="auto" w:fill="auto"/>
          </w:tcPr>
          <w:p w:rsidR="00AF7F33" w:rsidRPr="00883B4C" w:rsidRDefault="00AF7F33" w:rsidP="00970F37">
            <w:pPr>
              <w:pStyle w:val="Sansinterligne"/>
            </w:pPr>
          </w:p>
        </w:tc>
        <w:tc>
          <w:tcPr>
            <w:tcW w:w="4261" w:type="dxa"/>
            <w:shd w:val="clear" w:color="auto" w:fill="auto"/>
          </w:tcPr>
          <w:p w:rsidR="00AF7F33" w:rsidRPr="00883B4C" w:rsidRDefault="00AF7F33" w:rsidP="00970F37">
            <w:pPr>
              <w:pStyle w:val="Sansinterligne"/>
            </w:pPr>
          </w:p>
        </w:tc>
      </w:tr>
      <w:tr w:rsidR="009509DD" w:rsidTr="00970F37">
        <w:tc>
          <w:tcPr>
            <w:tcW w:w="5495" w:type="dxa"/>
            <w:shd w:val="clear" w:color="auto" w:fill="auto"/>
          </w:tcPr>
          <w:p w:rsidR="00992614" w:rsidRPr="00711876" w:rsidRDefault="00515325" w:rsidP="00970F37">
            <w:pPr>
              <w:pStyle w:val="Sansinterligne"/>
            </w:pPr>
            <w:r w:rsidRPr="00711876">
              <w:t>Une augmentation de la production d’amandes correspond à une augmentation de l’offre.</w:t>
            </w:r>
          </w:p>
        </w:tc>
        <w:tc>
          <w:tcPr>
            <w:tcW w:w="850" w:type="dxa"/>
            <w:shd w:val="clear" w:color="auto" w:fill="auto"/>
          </w:tcPr>
          <w:p w:rsidR="00992614" w:rsidRPr="00883B4C" w:rsidRDefault="00992614" w:rsidP="00970F37">
            <w:pPr>
              <w:pStyle w:val="Sansinterligne"/>
            </w:pPr>
          </w:p>
        </w:tc>
        <w:tc>
          <w:tcPr>
            <w:tcW w:w="4261" w:type="dxa"/>
            <w:shd w:val="clear" w:color="auto" w:fill="auto"/>
          </w:tcPr>
          <w:p w:rsidR="00992614" w:rsidRPr="00883B4C" w:rsidRDefault="00992614" w:rsidP="00970F37">
            <w:pPr>
              <w:pStyle w:val="Sansinterligne"/>
            </w:pPr>
          </w:p>
        </w:tc>
      </w:tr>
      <w:tr w:rsidR="009509DD" w:rsidTr="00970F37">
        <w:tc>
          <w:tcPr>
            <w:tcW w:w="5495" w:type="dxa"/>
            <w:shd w:val="clear" w:color="auto" w:fill="auto"/>
          </w:tcPr>
          <w:p w:rsidR="00992614" w:rsidRPr="00711876" w:rsidRDefault="00515325" w:rsidP="00970F37">
            <w:pPr>
              <w:pStyle w:val="Sansinterligne"/>
            </w:pPr>
            <w:r w:rsidRPr="00711876">
              <w:t>Une diminution du pouvoir d’achat des ménages se traduit par une augmentation de la demande.</w:t>
            </w:r>
          </w:p>
        </w:tc>
        <w:tc>
          <w:tcPr>
            <w:tcW w:w="850" w:type="dxa"/>
            <w:shd w:val="clear" w:color="auto" w:fill="auto"/>
          </w:tcPr>
          <w:p w:rsidR="00992614" w:rsidRPr="00883B4C" w:rsidRDefault="00992614" w:rsidP="00970F37">
            <w:pPr>
              <w:pStyle w:val="Sansinterligne"/>
            </w:pPr>
          </w:p>
        </w:tc>
        <w:tc>
          <w:tcPr>
            <w:tcW w:w="4261" w:type="dxa"/>
            <w:shd w:val="clear" w:color="auto" w:fill="auto"/>
          </w:tcPr>
          <w:p w:rsidR="00992614" w:rsidRPr="00883B4C" w:rsidRDefault="00992614" w:rsidP="00970F37">
            <w:pPr>
              <w:pStyle w:val="Sansinterligne"/>
            </w:pPr>
          </w:p>
        </w:tc>
      </w:tr>
    </w:tbl>
    <w:p w:rsidR="00992614" w:rsidRPr="00942073" w:rsidRDefault="00992614" w:rsidP="00970F37">
      <w:pPr>
        <w:pStyle w:val="Sansinterligne"/>
      </w:pPr>
    </w:p>
    <w:p w:rsidR="009509DD" w:rsidRPr="00C1458B" w:rsidRDefault="009509DD" w:rsidP="00C60D0C">
      <w:pPr>
        <w:rPr>
          <w:rFonts w:ascii="Calibri Light" w:hAnsi="Calibri Light"/>
          <w:sz w:val="24"/>
          <w:szCs w:val="24"/>
        </w:rPr>
      </w:pPr>
      <w:r w:rsidRPr="00C1458B">
        <w:rPr>
          <w:rFonts w:ascii="Calibri Light" w:hAnsi="Calibri Light"/>
          <w:b/>
          <w:bCs/>
          <w:sz w:val="24"/>
          <w:szCs w:val="24"/>
        </w:rPr>
        <w:t>Exercice 2</w:t>
      </w:r>
      <w:r w:rsidRPr="00C1458B">
        <w:rPr>
          <w:rFonts w:ascii="Calibri Light" w:hAnsi="Calibri Light"/>
          <w:sz w:val="24"/>
          <w:szCs w:val="24"/>
        </w:rPr>
        <w:t xml:space="preserve"> : </w:t>
      </w:r>
      <w:r w:rsidR="00B24226" w:rsidRPr="00C1458B">
        <w:rPr>
          <w:rFonts w:ascii="Calibri Light" w:hAnsi="Calibri Light"/>
          <w:sz w:val="24"/>
          <w:szCs w:val="24"/>
        </w:rPr>
        <w:t>Texte à trous</w:t>
      </w:r>
    </w:p>
    <w:p w:rsidR="00B24226" w:rsidRPr="00C60D0C" w:rsidRDefault="00515325" w:rsidP="00C60D0C">
      <w:pPr>
        <w:rPr>
          <w:sz w:val="24"/>
          <w:szCs w:val="24"/>
        </w:rPr>
      </w:pPr>
      <w:r w:rsidRPr="00C60D0C">
        <w:rPr>
          <w:sz w:val="24"/>
          <w:szCs w:val="24"/>
        </w:rPr>
        <w:t xml:space="preserve">L’offre et la demande varient au cours du temps et ces variations modifient l’équilibre du ....................... . Par exemple si la demande de cacao augmente toutes choses égales par ailleurs, la droite de demande se déplacera vers la .............................. et on observera une ................................... du prix du cacao. On peut aussi prendre l’exemple d’une restriction de la production de pétrole qui </w:t>
      </w:r>
      <w:r w:rsidR="00170E93" w:rsidRPr="00C60D0C">
        <w:rPr>
          <w:sz w:val="24"/>
          <w:szCs w:val="24"/>
        </w:rPr>
        <w:t>signifie que la production de pétrole ...................................., ce</w:t>
      </w:r>
      <w:r w:rsidR="00970F37">
        <w:rPr>
          <w:sz w:val="24"/>
          <w:szCs w:val="24"/>
        </w:rPr>
        <w:t>ci</w:t>
      </w:r>
      <w:r w:rsidR="00170E93" w:rsidRPr="00C60D0C">
        <w:rPr>
          <w:sz w:val="24"/>
          <w:szCs w:val="24"/>
        </w:rPr>
        <w:t xml:space="preserve"> se traduira graphiquement par un déplacement de la droite ................................ vers la ..................................... et aboutira à une ..............................................du prix du baril de pétrole.</w:t>
      </w:r>
    </w:p>
    <w:p w:rsidR="009509DD" w:rsidRDefault="009509DD" w:rsidP="00970F37">
      <w:pPr>
        <w:pStyle w:val="Sansinterligne"/>
      </w:pPr>
    </w:p>
    <w:p w:rsidR="00890E6E" w:rsidRPr="00C60D0C" w:rsidRDefault="00890E6E" w:rsidP="00970F37">
      <w:pPr>
        <w:pStyle w:val="Sansinterligne"/>
        <w:rPr>
          <w:i/>
          <w:iCs/>
        </w:rPr>
      </w:pPr>
      <w:r w:rsidRPr="00890E6E">
        <w:rPr>
          <w:b/>
        </w:rPr>
        <w:t xml:space="preserve">Exercice </w:t>
      </w:r>
      <w:r w:rsidR="00B24226">
        <w:rPr>
          <w:b/>
        </w:rPr>
        <w:t>3</w:t>
      </w:r>
      <w:r>
        <w:t xml:space="preserve"> : </w:t>
      </w:r>
      <w:r w:rsidR="00711876">
        <w:t>Compléter le graphique ci-dessous et traduisez graphiquement un</w:t>
      </w:r>
      <w:r w:rsidR="00C64235">
        <w:t>e</w:t>
      </w:r>
      <w:r w:rsidR="00711876">
        <w:t xml:space="preserve"> diminution de la demande</w:t>
      </w:r>
    </w:p>
    <w:p w:rsidR="00890E6E" w:rsidRDefault="00826545" w:rsidP="00970F37">
      <w:pPr>
        <w:pStyle w:val="Sansinterligne"/>
        <w:jc w:val="center"/>
      </w:pPr>
      <w:r>
        <w:drawing>
          <wp:inline distT="0" distB="0" distL="0" distR="0">
            <wp:extent cx="2466975" cy="20764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2466975" cy="2076450"/>
                    </a:xfrm>
                    <a:prstGeom prst="rect">
                      <a:avLst/>
                    </a:prstGeom>
                    <a:noFill/>
                    <a:ln w="9525">
                      <a:noFill/>
                      <a:miter lim="800000"/>
                      <a:headEnd/>
                      <a:tailEnd/>
                    </a:ln>
                  </pic:spPr>
                </pic:pic>
              </a:graphicData>
            </a:graphic>
          </wp:inline>
        </w:drawing>
      </w:r>
    </w:p>
    <w:p w:rsidR="00890E6E" w:rsidRDefault="00890E6E" w:rsidP="00970F37">
      <w:pPr>
        <w:pStyle w:val="Sansinterligne"/>
      </w:pPr>
    </w:p>
    <w:p w:rsidR="005E6B69" w:rsidRPr="00883B4C" w:rsidRDefault="001B6B65" w:rsidP="00E556B9">
      <w:pPr>
        <w:pBdr>
          <w:bottom w:val="single" w:sz="4" w:space="1" w:color="auto"/>
        </w:pBdr>
        <w:jc w:val="center"/>
        <w:rPr>
          <w:rFonts w:ascii="Calibri Light" w:hAnsi="Calibri Light"/>
          <w:b/>
          <w:color w:val="000000"/>
          <w:sz w:val="32"/>
          <w:szCs w:val="32"/>
        </w:rPr>
      </w:pPr>
      <w:r w:rsidRPr="00883B4C">
        <w:rPr>
          <w:rFonts w:ascii="Calibri Light" w:hAnsi="Calibri Light"/>
          <w:b/>
          <w:color w:val="000000"/>
          <w:sz w:val="32"/>
          <w:szCs w:val="32"/>
        </w:rPr>
        <w:t xml:space="preserve">Etape </w:t>
      </w:r>
      <w:r w:rsidR="00992614" w:rsidRPr="00883B4C">
        <w:rPr>
          <w:rFonts w:ascii="Calibri Light" w:hAnsi="Calibri Light"/>
          <w:b/>
          <w:color w:val="000000"/>
          <w:sz w:val="32"/>
          <w:szCs w:val="32"/>
        </w:rPr>
        <w:t>2</w:t>
      </w:r>
      <w:r w:rsidR="005E6B69" w:rsidRPr="00883B4C">
        <w:rPr>
          <w:rFonts w:ascii="Calibri Light" w:hAnsi="Calibri Light"/>
          <w:b/>
          <w:color w:val="000000"/>
          <w:sz w:val="32"/>
          <w:szCs w:val="32"/>
        </w:rPr>
        <w:t xml:space="preserve"> : </w:t>
      </w:r>
      <w:r w:rsidR="008C523D">
        <w:rPr>
          <w:rFonts w:ascii="Calibri Light" w:hAnsi="Calibri Light"/>
          <w:b/>
          <w:color w:val="000000"/>
          <w:sz w:val="32"/>
          <w:szCs w:val="32"/>
        </w:rPr>
        <w:t>activités sur documents</w:t>
      </w:r>
      <w:r w:rsidR="00992614" w:rsidRPr="00883B4C">
        <w:rPr>
          <w:rFonts w:ascii="Calibri Light" w:hAnsi="Calibri Light"/>
          <w:b/>
          <w:color w:val="000000"/>
          <w:sz w:val="32"/>
          <w:szCs w:val="32"/>
        </w:rPr>
        <w:t xml:space="preserve"> </w:t>
      </w:r>
    </w:p>
    <w:p w:rsidR="00C97788" w:rsidRDefault="00C97788" w:rsidP="00C97788">
      <w:pPr>
        <w:rPr>
          <w:rFonts w:ascii="Calibri Light" w:hAnsi="Calibri Light"/>
          <w:bCs/>
          <w:color w:val="000000"/>
          <w:sz w:val="28"/>
          <w:szCs w:val="28"/>
          <w:u w:val="single"/>
        </w:rPr>
      </w:pPr>
      <w:r w:rsidRPr="00883B4C">
        <w:rPr>
          <w:rFonts w:ascii="Calibri Light" w:hAnsi="Calibri Light"/>
          <w:b/>
          <w:color w:val="000000"/>
          <w:sz w:val="28"/>
          <w:szCs w:val="28"/>
          <w:u w:val="single"/>
        </w:rPr>
        <w:t xml:space="preserve">Exercice </w:t>
      </w:r>
      <w:r>
        <w:rPr>
          <w:rFonts w:ascii="Calibri Light" w:hAnsi="Calibri Light"/>
          <w:b/>
          <w:color w:val="000000"/>
          <w:sz w:val="28"/>
          <w:szCs w:val="28"/>
          <w:u w:val="single"/>
        </w:rPr>
        <w:t xml:space="preserve">1 </w:t>
      </w:r>
      <w:r w:rsidRPr="00883B4C">
        <w:rPr>
          <w:rFonts w:ascii="Calibri Light" w:hAnsi="Calibri Light"/>
          <w:b/>
          <w:color w:val="000000"/>
          <w:sz w:val="28"/>
          <w:szCs w:val="28"/>
          <w:u w:val="single"/>
        </w:rPr>
        <w:t xml:space="preserve">: </w:t>
      </w:r>
      <w:r>
        <w:rPr>
          <w:rFonts w:ascii="Calibri Light" w:hAnsi="Calibri Light"/>
          <w:bCs/>
          <w:color w:val="000000"/>
          <w:sz w:val="28"/>
          <w:szCs w:val="28"/>
          <w:u w:val="single"/>
        </w:rPr>
        <w:t>La variation du prix du baril de pétrole</w:t>
      </w:r>
    </w:p>
    <w:p w:rsidR="00C97788" w:rsidRDefault="00C97788" w:rsidP="00C97788">
      <w:pPr>
        <w:pStyle w:val="articleparagraph"/>
        <w:spacing w:before="0" w:beforeAutospacing="0" w:after="0" w:afterAutospacing="0"/>
        <w:ind w:firstLine="708"/>
        <w:jc w:val="both"/>
        <w:rPr>
          <w:rFonts w:ascii="Calibri Light" w:hAnsi="Calibri Light"/>
        </w:rPr>
      </w:pPr>
      <w:r w:rsidRPr="00C1458B">
        <w:rPr>
          <w:rFonts w:ascii="Calibri Light" w:hAnsi="Calibri Light"/>
        </w:rPr>
        <w:t>C’est un paradoxe : alors que les « gilets jaunes » bloquaient, samedi 17 novembre, péages et bretelles d’autoroute afin de protester, entre autres, contre la hausse du prix de l’essence, le prix du baril, lui, ne cesse de s’effondrer. Mardi, le cours du brent</w:t>
      </w:r>
      <w:r w:rsidRPr="00F071E7">
        <w:rPr>
          <w:rFonts w:ascii="Calibri Light" w:hAnsi="Calibri Light"/>
          <w:color w:val="000000"/>
          <w:sz w:val="16"/>
          <w:szCs w:val="16"/>
        </w:rPr>
        <w:t>(1)</w:t>
      </w:r>
      <w:r w:rsidRPr="00C1458B">
        <w:rPr>
          <w:rFonts w:ascii="Calibri Light" w:hAnsi="Calibri Light"/>
          <w:color w:val="000000"/>
        </w:rPr>
        <w:t xml:space="preserve"> </w:t>
      </w:r>
      <w:r w:rsidRPr="00C1458B">
        <w:rPr>
          <w:rFonts w:ascii="Calibri Light" w:hAnsi="Calibri Light"/>
        </w:rPr>
        <w:t xml:space="preserve"> tournait ainsi autour de 67 dollars (59 euros), après avoir enregistré une chute de 23 % depuis le début du mois d’octobre.</w:t>
      </w:r>
    </w:p>
    <w:p w:rsidR="00C97788" w:rsidRPr="00C1458B" w:rsidRDefault="00C97788" w:rsidP="00C97788">
      <w:pPr>
        <w:pStyle w:val="articleparagraph"/>
        <w:spacing w:before="0" w:beforeAutospacing="0" w:after="0" w:afterAutospacing="0"/>
        <w:ind w:firstLine="708"/>
        <w:jc w:val="both"/>
        <w:rPr>
          <w:rFonts w:ascii="Calibri Light" w:hAnsi="Calibri Light"/>
        </w:rPr>
      </w:pPr>
      <w:r w:rsidRPr="00C1458B">
        <w:rPr>
          <w:rFonts w:ascii="Calibri Light" w:hAnsi="Calibri Light"/>
        </w:rPr>
        <w:t>Après l’annonce de sanctions américaines contre l’Iran, en mai, rien ne semblait arrêter la hausse des cours, qui, à plusieurs reprises, ont dépassé la barre des 80 dollars. Les tradeurs estimaient que la perte de plus d’un million de barils iraniens allait durement pénaliser un marché pétrolier déjà tendu et propulser le baril autour de 90, voire 100 dollars.</w:t>
      </w:r>
    </w:p>
    <w:p w:rsidR="00C97788" w:rsidRPr="00C1458B" w:rsidRDefault="00C97788" w:rsidP="00C97788">
      <w:pPr>
        <w:pStyle w:val="articleparagraph"/>
        <w:spacing w:before="0" w:beforeAutospacing="0" w:after="0" w:afterAutospacing="0"/>
        <w:ind w:firstLine="708"/>
        <w:jc w:val="both"/>
        <w:rPr>
          <w:rFonts w:ascii="Calibri Light" w:hAnsi="Calibri Light"/>
        </w:rPr>
      </w:pPr>
      <w:r w:rsidRPr="00C1458B">
        <w:rPr>
          <w:rFonts w:ascii="Calibri Light" w:hAnsi="Calibri Light"/>
        </w:rPr>
        <w:t xml:space="preserve">Or c’est le phénomène inverse qui s’est produit. Alors que la demande reste forte, les pays pétroliers ont tous augmenté leur production en même temps, arrosant un marché qui n’en demandait pas tant. </w:t>
      </w:r>
      <w:r w:rsidRPr="00C1458B">
        <w:rPr>
          <w:rStyle w:val="Accentuation"/>
          <w:rFonts w:ascii="Calibri Light" w:hAnsi="Calibri Light"/>
        </w:rPr>
        <w:t xml:space="preserve">« Il y a trop de pétrole sur le marché mondial pour pouvoir supporter les récents niveaux de prix », </w:t>
      </w:r>
      <w:r w:rsidRPr="00C1458B">
        <w:rPr>
          <w:rFonts w:ascii="Calibri Light" w:hAnsi="Calibri Light"/>
        </w:rPr>
        <w:t xml:space="preserve">a ainsi expliqué à l’Agence France-Presse l’analyste James Williams, de WTRG. </w:t>
      </w:r>
      <w:r w:rsidRPr="00C1458B">
        <w:rPr>
          <w:rStyle w:val="Accentuation"/>
          <w:rFonts w:ascii="Calibri Light" w:hAnsi="Calibri Light"/>
        </w:rPr>
        <w:t>« Ceux qui pensaient que le baril se dirigeait vers les 95 dollars ne peuvent que capituler, nous y compris »,</w:t>
      </w:r>
      <w:r w:rsidRPr="00C1458B">
        <w:rPr>
          <w:rFonts w:ascii="Calibri Light" w:hAnsi="Calibri Light"/>
        </w:rPr>
        <w:t xml:space="preserve"> ont reconnu, dans une note, les analystes de Bank of America Merrill Lynch.</w:t>
      </w:r>
    </w:p>
    <w:p w:rsidR="00C97788" w:rsidRPr="009E6C9E" w:rsidRDefault="00C97788" w:rsidP="00C97788">
      <w:pPr>
        <w:jc w:val="right"/>
        <w:rPr>
          <w:rFonts w:ascii="Calibri Light" w:hAnsi="Calibri Light"/>
          <w:bCs/>
          <w:color w:val="000000"/>
          <w:sz w:val="24"/>
          <w:szCs w:val="24"/>
        </w:rPr>
      </w:pPr>
      <w:r w:rsidRPr="009E6C9E">
        <w:rPr>
          <w:rFonts w:ascii="Calibri Light" w:hAnsi="Calibri Light"/>
          <w:bCs/>
          <w:color w:val="000000"/>
          <w:sz w:val="24"/>
          <w:szCs w:val="24"/>
        </w:rPr>
        <w:t xml:space="preserve">Source : </w:t>
      </w:r>
      <w:hyperlink r:id="rId9" w:history="1">
        <w:r w:rsidRPr="009E6C9E">
          <w:rPr>
            <w:rStyle w:val="Lienhypertexte"/>
            <w:rFonts w:ascii="Calibri Light" w:hAnsi="Calibri Light"/>
            <w:bCs/>
            <w:sz w:val="24"/>
            <w:szCs w:val="24"/>
            <w:u w:val="none"/>
          </w:rPr>
          <w:t>www.lemonde.fr</w:t>
        </w:r>
      </w:hyperlink>
      <w:r w:rsidRPr="009E6C9E">
        <w:rPr>
          <w:rFonts w:ascii="Calibri Light" w:hAnsi="Calibri Light"/>
          <w:bCs/>
          <w:color w:val="000000"/>
          <w:sz w:val="24"/>
          <w:szCs w:val="24"/>
        </w:rPr>
        <w:t>, publié le 20 novembre 2018</w:t>
      </w:r>
    </w:p>
    <w:p w:rsidR="00C97788" w:rsidRPr="00F071E7" w:rsidRDefault="00C97788" w:rsidP="00C97788">
      <w:pPr>
        <w:numPr>
          <w:ilvl w:val="0"/>
          <w:numId w:val="37"/>
        </w:numPr>
        <w:rPr>
          <w:rFonts w:ascii="Calibri Light" w:hAnsi="Calibri Light"/>
          <w:bCs/>
          <w:color w:val="000000"/>
          <w:szCs w:val="20"/>
          <w:u w:val="single"/>
        </w:rPr>
      </w:pPr>
      <w:r w:rsidRPr="00F071E7">
        <w:rPr>
          <w:rFonts w:ascii="Calibri Light" w:hAnsi="Calibri Light"/>
          <w:color w:val="000000"/>
          <w:szCs w:val="20"/>
        </w:rPr>
        <w:t>Type de pétrole brut assez léger</w:t>
      </w:r>
    </w:p>
    <w:p w:rsidR="00C97788" w:rsidRPr="00F071E7" w:rsidRDefault="00C97788" w:rsidP="00C97788">
      <w:pPr>
        <w:numPr>
          <w:ilvl w:val="0"/>
          <w:numId w:val="38"/>
        </w:numPr>
        <w:rPr>
          <w:rFonts w:ascii="Calibri Light" w:hAnsi="Calibri Light"/>
          <w:bCs/>
          <w:color w:val="000000"/>
          <w:sz w:val="24"/>
          <w:szCs w:val="24"/>
        </w:rPr>
      </w:pPr>
      <w:r w:rsidRPr="00F071E7">
        <w:rPr>
          <w:rFonts w:ascii="Calibri Light" w:hAnsi="Calibri Light"/>
          <w:bCs/>
          <w:color w:val="000000"/>
          <w:sz w:val="24"/>
          <w:szCs w:val="24"/>
        </w:rPr>
        <w:t>Qu’auraient dû provoque</w:t>
      </w:r>
      <w:r>
        <w:rPr>
          <w:rFonts w:ascii="Calibri Light" w:hAnsi="Calibri Light"/>
          <w:bCs/>
          <w:color w:val="000000"/>
          <w:sz w:val="24"/>
          <w:szCs w:val="24"/>
        </w:rPr>
        <w:t>r</w:t>
      </w:r>
      <w:r w:rsidRPr="00F071E7">
        <w:rPr>
          <w:rFonts w:ascii="Calibri Light" w:hAnsi="Calibri Light"/>
          <w:bCs/>
          <w:color w:val="000000"/>
          <w:sz w:val="24"/>
          <w:szCs w:val="24"/>
        </w:rPr>
        <w:t xml:space="preserve"> les sanctions américaines contre l’Iran ? Expliquer le mécanisme.</w:t>
      </w:r>
    </w:p>
    <w:p w:rsidR="00C97788" w:rsidRDefault="00C97788" w:rsidP="00C97788">
      <w:pPr>
        <w:numPr>
          <w:ilvl w:val="0"/>
          <w:numId w:val="38"/>
        </w:numPr>
        <w:rPr>
          <w:rFonts w:ascii="Calibri Light" w:hAnsi="Calibri Light"/>
          <w:bCs/>
          <w:color w:val="000000"/>
          <w:sz w:val="24"/>
          <w:szCs w:val="24"/>
        </w:rPr>
      </w:pPr>
      <w:r>
        <w:rPr>
          <w:rFonts w:ascii="Calibri Light" w:hAnsi="Calibri Light"/>
          <w:bCs/>
          <w:color w:val="000000"/>
          <w:sz w:val="24"/>
          <w:szCs w:val="24"/>
        </w:rPr>
        <w:t>Pourquoi le cours du brent a-t-il diminué ?</w:t>
      </w:r>
    </w:p>
    <w:p w:rsidR="00C97788" w:rsidRDefault="00C97788" w:rsidP="00C97788">
      <w:pPr>
        <w:numPr>
          <w:ilvl w:val="0"/>
          <w:numId w:val="38"/>
        </w:numPr>
        <w:rPr>
          <w:rFonts w:ascii="Calibri Light" w:hAnsi="Calibri Light"/>
          <w:bCs/>
          <w:color w:val="000000"/>
          <w:sz w:val="24"/>
          <w:szCs w:val="24"/>
        </w:rPr>
      </w:pPr>
      <w:r>
        <w:rPr>
          <w:rFonts w:ascii="Calibri Light" w:hAnsi="Calibri Light"/>
          <w:bCs/>
          <w:color w:val="000000"/>
          <w:sz w:val="24"/>
          <w:szCs w:val="24"/>
        </w:rPr>
        <w:t>Représenter cela graphiquement.</w:t>
      </w:r>
    </w:p>
    <w:p w:rsidR="00C97788" w:rsidRDefault="00826545" w:rsidP="00C97788">
      <w:pPr>
        <w:rPr>
          <w:rFonts w:ascii="Calibri Light" w:hAnsi="Calibri Light"/>
          <w:bCs/>
          <w:color w:val="000000"/>
          <w:sz w:val="28"/>
          <w:szCs w:val="28"/>
          <w:u w:val="single"/>
        </w:rPr>
      </w:pPr>
      <w:r>
        <w:rPr>
          <w:noProof/>
          <w:lang w:eastAsia="fr-FR"/>
        </w:rPr>
        <w:drawing>
          <wp:anchor distT="0" distB="0" distL="114300" distR="114300" simplePos="0" relativeHeight="251658240" behindDoc="1" locked="0" layoutInCell="1" allowOverlap="1">
            <wp:simplePos x="0" y="0"/>
            <wp:positionH relativeFrom="column">
              <wp:posOffset>5419725</wp:posOffset>
            </wp:positionH>
            <wp:positionV relativeFrom="paragraph">
              <wp:posOffset>104775</wp:posOffset>
            </wp:positionV>
            <wp:extent cx="1228725" cy="1581150"/>
            <wp:effectExtent l="19050" t="0" r="9525" b="0"/>
            <wp:wrapTight wrapText="bothSides">
              <wp:wrapPolygon edited="0">
                <wp:start x="-335" y="0"/>
                <wp:lineTo x="-335" y="21340"/>
                <wp:lineTo x="21767" y="21340"/>
                <wp:lineTo x="21767" y="0"/>
                <wp:lineTo x="-335" y="0"/>
              </wp:wrapPolygon>
            </wp:wrapTight>
            <wp:docPr id="15" name="Image 15" descr="Résultat de recherche d'images pour &quot;salvator mund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ésultat de recherche d'images pour &quot;salvator mundi&quot;"/>
                    <pic:cNvPicPr>
                      <a:picLocks noChangeAspect="1" noChangeArrowheads="1"/>
                    </pic:cNvPicPr>
                  </pic:nvPicPr>
                  <pic:blipFill>
                    <a:blip r:embed="rId10" r:link="rId11"/>
                    <a:srcRect l="29233" r="26837"/>
                    <a:stretch>
                      <a:fillRect/>
                    </a:stretch>
                  </pic:blipFill>
                  <pic:spPr bwMode="auto">
                    <a:xfrm>
                      <a:off x="0" y="0"/>
                      <a:ext cx="1228725" cy="1581150"/>
                    </a:xfrm>
                    <a:prstGeom prst="rect">
                      <a:avLst/>
                    </a:prstGeom>
                    <a:noFill/>
                    <a:ln w="9525">
                      <a:noFill/>
                      <a:miter lim="800000"/>
                      <a:headEnd/>
                      <a:tailEnd/>
                    </a:ln>
                  </pic:spPr>
                </pic:pic>
              </a:graphicData>
            </a:graphic>
          </wp:anchor>
        </w:drawing>
      </w:r>
      <w:r w:rsidR="00C97788" w:rsidRPr="00883B4C">
        <w:rPr>
          <w:rFonts w:ascii="Calibri Light" w:hAnsi="Calibri Light"/>
          <w:b/>
          <w:color w:val="000000"/>
          <w:sz w:val="28"/>
          <w:szCs w:val="28"/>
          <w:u w:val="single"/>
        </w:rPr>
        <w:t xml:space="preserve">Exercice </w:t>
      </w:r>
      <w:r w:rsidR="00C97788">
        <w:rPr>
          <w:rFonts w:ascii="Calibri Light" w:hAnsi="Calibri Light"/>
          <w:b/>
          <w:color w:val="000000"/>
          <w:sz w:val="28"/>
          <w:szCs w:val="28"/>
          <w:u w:val="single"/>
        </w:rPr>
        <w:t>2</w:t>
      </w:r>
      <w:r w:rsidR="00C97788" w:rsidRPr="00883B4C">
        <w:rPr>
          <w:rFonts w:ascii="Calibri Light" w:hAnsi="Calibri Light"/>
          <w:b/>
          <w:color w:val="000000"/>
          <w:sz w:val="28"/>
          <w:szCs w:val="28"/>
          <w:u w:val="single"/>
        </w:rPr>
        <w:t xml:space="preserve"> : </w:t>
      </w:r>
      <w:r w:rsidR="00C97788">
        <w:rPr>
          <w:rFonts w:ascii="Calibri Light" w:hAnsi="Calibri Light"/>
          <w:bCs/>
          <w:color w:val="000000"/>
          <w:sz w:val="28"/>
          <w:szCs w:val="28"/>
          <w:u w:val="single"/>
        </w:rPr>
        <w:t>Les prix sur le marché de l’art</w:t>
      </w:r>
      <w:r w:rsidR="00C97788" w:rsidRPr="00AC35D6">
        <w:t xml:space="preserve"> </w:t>
      </w:r>
    </w:p>
    <w:p w:rsidR="00C97788" w:rsidRPr="00C1458B" w:rsidRDefault="00C97788" w:rsidP="00C97788">
      <w:pPr>
        <w:spacing w:after="0" w:line="240" w:lineRule="auto"/>
        <w:ind w:firstLine="708"/>
        <w:rPr>
          <w:rFonts w:ascii="Calibri Light" w:eastAsia="Times New Roman" w:hAnsi="Calibri Light"/>
          <w:sz w:val="24"/>
          <w:szCs w:val="24"/>
          <w:lang w:eastAsia="fr-FR"/>
        </w:rPr>
      </w:pPr>
      <w:r w:rsidRPr="00C1458B">
        <w:rPr>
          <w:rFonts w:ascii="Calibri Light" w:eastAsia="Times New Roman" w:hAnsi="Calibri Light"/>
          <w:sz w:val="24"/>
          <w:szCs w:val="24"/>
          <w:lang w:eastAsia="fr-FR"/>
        </w:rPr>
        <w:t>Le tableau dont il est question, "Salvator Mundi", valait 45 livres sterling -126 dollars- lors d'une vente réalisée en 1958. Il a été acheté quatre-vingts fois plus cher il y a une dizaine d'année, avant de voir cette fois son prix multiplié par 45.000.</w:t>
      </w:r>
    </w:p>
    <w:p w:rsidR="00C97788" w:rsidRPr="00C1458B" w:rsidRDefault="00C97788" w:rsidP="00C97788">
      <w:pPr>
        <w:spacing w:after="0" w:line="240" w:lineRule="auto"/>
        <w:ind w:firstLine="708"/>
        <w:rPr>
          <w:rFonts w:ascii="Calibri Light" w:eastAsia="Times New Roman" w:hAnsi="Calibri Light"/>
          <w:sz w:val="24"/>
          <w:szCs w:val="24"/>
          <w:lang w:eastAsia="fr-FR"/>
        </w:rPr>
      </w:pPr>
      <w:r w:rsidRPr="00C1458B">
        <w:rPr>
          <w:rFonts w:ascii="Calibri Light" w:eastAsia="Times New Roman" w:hAnsi="Calibri Light"/>
          <w:sz w:val="24"/>
          <w:szCs w:val="24"/>
          <w:lang w:eastAsia="fr-FR"/>
        </w:rPr>
        <w:t>L'évolution s'explique d'abord par son authentification, entre-temps, comme un Leonard de Vinci alors qu'il avait au départ été vendu comme l'oeuvre d'un élève; par l'histoire, incroyable, de ce tableau sur cinq siècles et par la rareté des oeuvres authentifiées du génie de la Renaissance. Il en existe une douzaine au monde, toutes les autres se trouvent dans des musées [...]</w:t>
      </w:r>
    </w:p>
    <w:p w:rsidR="00C97788" w:rsidRPr="00C1458B" w:rsidRDefault="00C97788" w:rsidP="00C97788">
      <w:pPr>
        <w:spacing w:after="0"/>
        <w:ind w:firstLine="708"/>
        <w:rPr>
          <w:rFonts w:ascii="Calibri Light" w:hAnsi="Calibri Light"/>
          <w:b/>
          <w:color w:val="000000"/>
          <w:sz w:val="24"/>
          <w:szCs w:val="24"/>
          <w:u w:val="single"/>
        </w:rPr>
      </w:pPr>
      <w:r w:rsidRPr="00C1458B">
        <w:rPr>
          <w:rFonts w:ascii="Calibri Light" w:hAnsi="Calibri Light"/>
          <w:sz w:val="24"/>
          <w:szCs w:val="24"/>
        </w:rPr>
        <w:t>Le prix est enfin une rencontre entre une oeuvre et le désir d'un acheteur. Lorsque deux acheteurs qui n'ont aucune limite de capacité d'achat s'affrontent, le prix final peut largement dépasser l'estimation. Or le nombre de collectionneurs très riches augmente. L'art intéresse de nouvelles fortunes mondiales venues de Russie, de Chine, ou d'Inde, qui viennent réjoindre celles des pays du Proche et du Moyen Orient, d'Europe ou des Etats Unis.</w:t>
      </w:r>
      <w:r w:rsidRPr="00C1458B">
        <w:rPr>
          <w:rFonts w:ascii="Calibri Light" w:hAnsi="Calibri Light"/>
          <w:b/>
          <w:color w:val="000000"/>
          <w:sz w:val="24"/>
          <w:szCs w:val="24"/>
          <w:u w:val="single"/>
        </w:rPr>
        <w:t xml:space="preserve"> </w:t>
      </w:r>
    </w:p>
    <w:p w:rsidR="00C97788" w:rsidRPr="00C1458B" w:rsidRDefault="00C97788" w:rsidP="00C97788">
      <w:pPr>
        <w:jc w:val="right"/>
        <w:rPr>
          <w:rFonts w:ascii="Calibri Light" w:hAnsi="Calibri Light"/>
          <w:bCs/>
          <w:color w:val="000000"/>
          <w:sz w:val="24"/>
          <w:szCs w:val="24"/>
        </w:rPr>
      </w:pPr>
      <w:r w:rsidRPr="00C1458B">
        <w:rPr>
          <w:rFonts w:ascii="Calibri Light" w:hAnsi="Calibri Light"/>
          <w:b/>
          <w:color w:val="000000"/>
          <w:sz w:val="24"/>
          <w:szCs w:val="24"/>
        </w:rPr>
        <w:t>Source</w:t>
      </w:r>
      <w:r w:rsidRPr="00C1458B">
        <w:rPr>
          <w:rFonts w:ascii="Calibri Light" w:hAnsi="Calibri Light"/>
          <w:bCs/>
          <w:color w:val="000000"/>
          <w:sz w:val="24"/>
          <w:szCs w:val="24"/>
        </w:rPr>
        <w:t xml:space="preserve"> : </w:t>
      </w:r>
      <w:hyperlink r:id="rId12" w:history="1">
        <w:r w:rsidRPr="00C1458B">
          <w:rPr>
            <w:rStyle w:val="Lienhypertexte"/>
            <w:rFonts w:ascii="Calibri Light" w:hAnsi="Calibri Light"/>
            <w:bCs/>
            <w:sz w:val="24"/>
            <w:szCs w:val="24"/>
            <w:u w:val="none"/>
          </w:rPr>
          <w:t>www.francetvinfo.fr</w:t>
        </w:r>
      </w:hyperlink>
      <w:r w:rsidRPr="00C1458B">
        <w:rPr>
          <w:rFonts w:ascii="Calibri Light" w:hAnsi="Calibri Light"/>
          <w:bCs/>
          <w:color w:val="000000"/>
          <w:sz w:val="24"/>
          <w:szCs w:val="24"/>
        </w:rPr>
        <w:t>, publié le 16 novembre 2017</w:t>
      </w:r>
    </w:p>
    <w:p w:rsidR="00C97788" w:rsidRPr="00C1458B" w:rsidRDefault="00C97788" w:rsidP="00C97788">
      <w:pPr>
        <w:numPr>
          <w:ilvl w:val="0"/>
          <w:numId w:val="35"/>
        </w:numPr>
        <w:jc w:val="left"/>
        <w:rPr>
          <w:rFonts w:ascii="Calibri Light" w:hAnsi="Calibri Light"/>
          <w:bCs/>
          <w:color w:val="000000"/>
          <w:sz w:val="24"/>
          <w:szCs w:val="24"/>
        </w:rPr>
      </w:pPr>
      <w:r w:rsidRPr="00C1458B">
        <w:rPr>
          <w:rFonts w:ascii="Calibri Light" w:hAnsi="Calibri Light"/>
          <w:bCs/>
          <w:color w:val="000000"/>
          <w:sz w:val="24"/>
          <w:szCs w:val="24"/>
        </w:rPr>
        <w:t>Comment a évolué le prix de l’oeuvre de Léonard de Vinci dont il est question ici ?</w:t>
      </w:r>
    </w:p>
    <w:p w:rsidR="00C97788" w:rsidRPr="00C1458B" w:rsidRDefault="00C97788" w:rsidP="00C97788">
      <w:pPr>
        <w:numPr>
          <w:ilvl w:val="0"/>
          <w:numId w:val="35"/>
        </w:numPr>
        <w:jc w:val="left"/>
        <w:rPr>
          <w:rFonts w:ascii="Calibri Light" w:hAnsi="Calibri Light"/>
          <w:bCs/>
          <w:color w:val="000000"/>
          <w:sz w:val="24"/>
          <w:szCs w:val="24"/>
        </w:rPr>
      </w:pPr>
      <w:r w:rsidRPr="00C1458B">
        <w:rPr>
          <w:rFonts w:ascii="Calibri Light" w:hAnsi="Calibri Light"/>
          <w:bCs/>
          <w:color w:val="000000"/>
          <w:sz w:val="24"/>
          <w:szCs w:val="24"/>
        </w:rPr>
        <w:t>Comment expliquer cette envolée du prix ?</w:t>
      </w:r>
    </w:p>
    <w:p w:rsidR="00C97788" w:rsidRDefault="00C97788" w:rsidP="00AA7147">
      <w:pPr>
        <w:rPr>
          <w:rFonts w:ascii="Calibri Light" w:hAnsi="Calibri Light"/>
          <w:b/>
          <w:color w:val="000000"/>
          <w:sz w:val="28"/>
          <w:szCs w:val="28"/>
          <w:u w:val="single"/>
        </w:rPr>
      </w:pPr>
    </w:p>
    <w:p w:rsidR="00877522" w:rsidRDefault="00662D1A" w:rsidP="00AA7147">
      <w:pPr>
        <w:rPr>
          <w:rFonts w:ascii="Calibri Light" w:hAnsi="Calibri Light"/>
          <w:bCs/>
          <w:color w:val="000000"/>
          <w:sz w:val="28"/>
          <w:szCs w:val="28"/>
          <w:u w:val="single"/>
        </w:rPr>
      </w:pPr>
      <w:r w:rsidRPr="00883B4C">
        <w:rPr>
          <w:rFonts w:ascii="Calibri Light" w:hAnsi="Calibri Light"/>
          <w:b/>
          <w:color w:val="000000"/>
          <w:sz w:val="28"/>
          <w:szCs w:val="28"/>
          <w:u w:val="single"/>
        </w:rPr>
        <w:lastRenderedPageBreak/>
        <w:t xml:space="preserve">Exercice </w:t>
      </w:r>
      <w:r w:rsidR="00C97788">
        <w:rPr>
          <w:rFonts w:ascii="Calibri Light" w:hAnsi="Calibri Light"/>
          <w:b/>
          <w:color w:val="000000"/>
          <w:sz w:val="28"/>
          <w:szCs w:val="28"/>
          <w:u w:val="single"/>
        </w:rPr>
        <w:t>3</w:t>
      </w:r>
      <w:r w:rsidRPr="00883B4C">
        <w:rPr>
          <w:rFonts w:ascii="Calibri Light" w:hAnsi="Calibri Light"/>
          <w:b/>
          <w:color w:val="000000"/>
          <w:sz w:val="28"/>
          <w:szCs w:val="28"/>
          <w:u w:val="single"/>
        </w:rPr>
        <w:t xml:space="preserve"> :</w:t>
      </w:r>
      <w:r w:rsidR="00C60D0C">
        <w:rPr>
          <w:rFonts w:ascii="Calibri Light" w:hAnsi="Calibri Light"/>
          <w:b/>
          <w:color w:val="000000"/>
          <w:sz w:val="28"/>
          <w:szCs w:val="28"/>
          <w:u w:val="single"/>
        </w:rPr>
        <w:t xml:space="preserve"> </w:t>
      </w:r>
      <w:r w:rsidR="00B4446F">
        <w:rPr>
          <w:rFonts w:ascii="Calibri Light" w:hAnsi="Calibri Light"/>
          <w:bCs/>
          <w:color w:val="000000"/>
          <w:sz w:val="28"/>
          <w:szCs w:val="28"/>
          <w:u w:val="single"/>
        </w:rPr>
        <w:t>Evolution des prix de l’immobilier en France métropolitaine</w:t>
      </w:r>
    </w:p>
    <w:p w:rsidR="00B4446F" w:rsidRDefault="00F071E7" w:rsidP="00B4446F">
      <w:pPr>
        <w:pStyle w:val="NormalWeb"/>
        <w:rPr>
          <w:rFonts w:ascii="Calibri Light" w:hAnsi="Calibri Light"/>
          <w:b/>
          <w:color w:val="000000"/>
          <w:sz w:val="28"/>
          <w:szCs w:val="28"/>
          <w:u w:val="single"/>
        </w:rPr>
      </w:pPr>
      <w:r>
        <w:rPr>
          <w:noProof/>
        </w:rPr>
        <w:pict>
          <v:shapetype id="_x0000_t202" coordsize="21600,21600" o:spt="202" path="m,l,21600r21600,l21600,xe">
            <v:stroke joinstyle="miter"/>
            <v:path gradientshapeok="t" o:connecttype="rect"/>
          </v:shapetype>
          <v:shape id="_x0000_s1037" type="#_x0000_t202" style="position:absolute;margin-left:336.75pt;margin-top:25.6pt;width:201pt;height:183.75pt;z-index:251657216" stroked="f">
            <v:textbox>
              <w:txbxContent>
                <w:p w:rsidR="00F071E7" w:rsidRPr="00795214" w:rsidRDefault="00F071E7" w:rsidP="00F071E7">
                  <w:pPr>
                    <w:numPr>
                      <w:ilvl w:val="0"/>
                      <w:numId w:val="39"/>
                    </w:numPr>
                    <w:rPr>
                      <w:rFonts w:ascii="Calibri Light" w:hAnsi="Calibri Light" w:cs="Calibri Light"/>
                      <w:sz w:val="24"/>
                      <w:szCs w:val="24"/>
                    </w:rPr>
                  </w:pPr>
                  <w:r w:rsidRPr="00795214">
                    <w:rPr>
                      <w:rFonts w:ascii="Calibri Light" w:hAnsi="Calibri Light" w:cs="Calibri Light"/>
                      <w:sz w:val="24"/>
                      <w:szCs w:val="24"/>
                    </w:rPr>
                    <w:t>Faire une phrase avec la donnée observée pour le 4</w:t>
                  </w:r>
                  <w:r w:rsidRPr="00795214">
                    <w:rPr>
                      <w:rFonts w:ascii="Calibri Light" w:hAnsi="Calibri Light" w:cs="Calibri Light"/>
                      <w:sz w:val="24"/>
                      <w:szCs w:val="24"/>
                      <w:vertAlign w:val="superscript"/>
                    </w:rPr>
                    <w:t>ème</w:t>
                  </w:r>
                  <w:r w:rsidRPr="00795214">
                    <w:rPr>
                      <w:rFonts w:ascii="Calibri Light" w:hAnsi="Calibri Light" w:cs="Calibri Light"/>
                      <w:sz w:val="24"/>
                      <w:szCs w:val="24"/>
                    </w:rPr>
                    <w:t xml:space="preserve"> trimestre 2017.</w:t>
                  </w:r>
                </w:p>
                <w:p w:rsidR="00F071E7" w:rsidRPr="00795214" w:rsidRDefault="00C97788" w:rsidP="00F071E7">
                  <w:pPr>
                    <w:numPr>
                      <w:ilvl w:val="0"/>
                      <w:numId w:val="39"/>
                    </w:numPr>
                    <w:rPr>
                      <w:rFonts w:ascii="Calibri Light" w:hAnsi="Calibri Light" w:cs="Calibri Light"/>
                      <w:sz w:val="24"/>
                      <w:szCs w:val="24"/>
                    </w:rPr>
                  </w:pPr>
                  <w:r w:rsidRPr="00795214">
                    <w:rPr>
                      <w:rFonts w:ascii="Calibri Light" w:hAnsi="Calibri Light" w:cs="Calibri Light"/>
                      <w:sz w:val="24"/>
                      <w:szCs w:val="24"/>
                    </w:rPr>
                    <w:t>Par combien le prix des logements anciens a-t-il été multiplié entre 1996 et 2017 ?</w:t>
                  </w:r>
                </w:p>
                <w:p w:rsidR="00C97788" w:rsidRPr="00795214" w:rsidRDefault="00C97788" w:rsidP="00F071E7">
                  <w:pPr>
                    <w:numPr>
                      <w:ilvl w:val="0"/>
                      <w:numId w:val="39"/>
                    </w:numPr>
                    <w:rPr>
                      <w:rFonts w:ascii="Calibri Light" w:hAnsi="Calibri Light" w:cs="Calibri Light"/>
                      <w:sz w:val="24"/>
                      <w:szCs w:val="24"/>
                    </w:rPr>
                  </w:pPr>
                  <w:r w:rsidRPr="00795214">
                    <w:rPr>
                      <w:rFonts w:ascii="Calibri Light" w:hAnsi="Calibri Light" w:cs="Calibri Light"/>
                      <w:sz w:val="24"/>
                      <w:szCs w:val="24"/>
                    </w:rPr>
                    <w:t>Quelles peuvent en être les explications ?</w:t>
                  </w:r>
                </w:p>
              </w:txbxContent>
            </v:textbox>
          </v:shape>
        </w:pict>
      </w:r>
      <w:r w:rsidR="00826545">
        <w:rPr>
          <w:noProof/>
        </w:rPr>
        <w:drawing>
          <wp:inline distT="0" distB="0" distL="0" distR="0">
            <wp:extent cx="4572000" cy="324802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srcRect t="16216"/>
                    <a:stretch>
                      <a:fillRect/>
                    </a:stretch>
                  </pic:blipFill>
                  <pic:spPr bwMode="auto">
                    <a:xfrm>
                      <a:off x="0" y="0"/>
                      <a:ext cx="4572000" cy="3248025"/>
                    </a:xfrm>
                    <a:prstGeom prst="rect">
                      <a:avLst/>
                    </a:prstGeom>
                    <a:noFill/>
                    <a:ln w="9525">
                      <a:noFill/>
                      <a:miter lim="800000"/>
                      <a:headEnd/>
                      <a:tailEnd/>
                    </a:ln>
                  </pic:spPr>
                </pic:pic>
              </a:graphicData>
            </a:graphic>
          </wp:inline>
        </w:drawing>
      </w:r>
    </w:p>
    <w:p w:rsidR="00B4446F" w:rsidRDefault="00B4446F" w:rsidP="00B4446F">
      <w:pPr>
        <w:pStyle w:val="NormalWeb"/>
        <w:rPr>
          <w:rFonts w:ascii="Calibri Light" w:hAnsi="Calibri Light"/>
          <w:b/>
          <w:color w:val="000000"/>
          <w:sz w:val="28"/>
          <w:szCs w:val="28"/>
          <w:u w:val="single"/>
        </w:rPr>
      </w:pPr>
      <w:r w:rsidRPr="00883B4C">
        <w:rPr>
          <w:rFonts w:ascii="Calibri Light" w:hAnsi="Calibri Light"/>
          <w:b/>
          <w:color w:val="000000"/>
          <w:sz w:val="28"/>
          <w:szCs w:val="28"/>
          <w:u w:val="single"/>
        </w:rPr>
        <w:t xml:space="preserve">Exercice </w:t>
      </w:r>
      <w:r w:rsidR="00C97788">
        <w:rPr>
          <w:rFonts w:ascii="Calibri Light" w:hAnsi="Calibri Light"/>
          <w:b/>
          <w:color w:val="000000"/>
          <w:sz w:val="28"/>
          <w:szCs w:val="28"/>
          <w:u w:val="single"/>
        </w:rPr>
        <w:t>4</w:t>
      </w:r>
      <w:r w:rsidRPr="00883B4C">
        <w:rPr>
          <w:rFonts w:ascii="Calibri Light" w:hAnsi="Calibri Light"/>
          <w:b/>
          <w:color w:val="000000"/>
          <w:sz w:val="28"/>
          <w:szCs w:val="28"/>
          <w:u w:val="single"/>
        </w:rPr>
        <w:t xml:space="preserve"> : </w:t>
      </w:r>
      <w:r w:rsidR="00C97788">
        <w:rPr>
          <w:rFonts w:ascii="Calibri Light" w:hAnsi="Calibri Light"/>
          <w:bCs/>
          <w:color w:val="000000"/>
          <w:sz w:val="28"/>
          <w:szCs w:val="28"/>
          <w:u w:val="single"/>
        </w:rPr>
        <w:t>L’évolution des prix sur le marché de l’immobilier en France</w:t>
      </w:r>
    </w:p>
    <w:p w:rsidR="00B4446F" w:rsidRPr="00C1458B" w:rsidRDefault="00B4446F" w:rsidP="00BC12FB">
      <w:pPr>
        <w:pStyle w:val="NormalWeb"/>
        <w:spacing w:before="0" w:beforeAutospacing="0" w:after="0" w:afterAutospacing="0"/>
        <w:ind w:firstLine="708"/>
        <w:jc w:val="both"/>
        <w:rPr>
          <w:rFonts w:ascii="Calibri Light" w:hAnsi="Calibri Light"/>
          <w:color w:val="000000"/>
          <w:sz w:val="24"/>
          <w:szCs w:val="24"/>
        </w:rPr>
      </w:pPr>
      <w:r w:rsidRPr="00C1458B">
        <w:rPr>
          <w:rFonts w:ascii="Calibri Light" w:hAnsi="Calibri Light"/>
          <w:color w:val="000000"/>
          <w:sz w:val="24"/>
          <w:szCs w:val="24"/>
        </w:rPr>
        <w:t xml:space="preserve">Le marché immobilier a battu tous les records en 2017. Au quatrième trimestre, les prix des logements anciens ont progressé de 1% par rapport aux trois mois précédents, selon </w:t>
      </w:r>
      <w:hyperlink r:id="rId14" w:tgtFrame="_blank" w:history="1">
        <w:r w:rsidRPr="00C1458B">
          <w:rPr>
            <w:rStyle w:val="Lienhypertexte"/>
            <w:rFonts w:ascii="Calibri Light" w:hAnsi="Calibri Light"/>
            <w:color w:val="000000"/>
            <w:sz w:val="24"/>
            <w:szCs w:val="24"/>
            <w:u w:val="none"/>
          </w:rPr>
          <w:t>les dernières données de l'Insee et des notaires</w:t>
        </w:r>
      </w:hyperlink>
      <w:r w:rsidRPr="00C1458B">
        <w:rPr>
          <w:rFonts w:ascii="Calibri Light" w:hAnsi="Calibri Light"/>
          <w:color w:val="000000"/>
          <w:sz w:val="24"/>
          <w:szCs w:val="24"/>
        </w:rPr>
        <w:t>. Sur un an, les prix augmentent même de 4% par rapport au quatrième trimestre 2016.</w:t>
      </w:r>
    </w:p>
    <w:p w:rsidR="00B4446F" w:rsidRPr="00C1458B" w:rsidRDefault="00B4446F" w:rsidP="00BC12FB">
      <w:pPr>
        <w:pStyle w:val="NormalWeb"/>
        <w:spacing w:before="0" w:beforeAutospacing="0" w:after="0" w:afterAutospacing="0"/>
        <w:ind w:firstLine="708"/>
        <w:jc w:val="both"/>
        <w:rPr>
          <w:rFonts w:ascii="Calibri Light" w:hAnsi="Calibri Light"/>
          <w:color w:val="000000"/>
          <w:sz w:val="24"/>
          <w:szCs w:val="24"/>
        </w:rPr>
      </w:pPr>
      <w:r w:rsidRPr="00C1458B">
        <w:rPr>
          <w:rFonts w:ascii="Calibri Light" w:hAnsi="Calibri Light"/>
          <w:color w:val="000000"/>
          <w:sz w:val="24"/>
          <w:szCs w:val="24"/>
        </w:rPr>
        <w:t>Dans le détail, le prix des appartements anciens progressent de 5% sur un an. Les prix des maisons dans l'ancien, eux, augmentent de 3,2% sur la même période. En Ile-de-France, les tarifs ont globalement progressé de 1,1% sur un trimestre (+5,1% sur un an), et ils ont aussi augmenté de 1% sur un trimestre (+3,5% sur un an) en province. </w:t>
      </w:r>
    </w:p>
    <w:p w:rsidR="00B4446F" w:rsidRPr="00C1458B" w:rsidRDefault="00B4446F" w:rsidP="00BC12FB">
      <w:pPr>
        <w:pStyle w:val="NormalWeb"/>
        <w:spacing w:before="0" w:beforeAutospacing="0" w:after="0" w:afterAutospacing="0"/>
        <w:ind w:firstLine="708"/>
        <w:jc w:val="both"/>
        <w:rPr>
          <w:rFonts w:ascii="Calibri Light" w:hAnsi="Calibri Light"/>
          <w:color w:val="000000"/>
          <w:sz w:val="24"/>
          <w:szCs w:val="24"/>
        </w:rPr>
      </w:pPr>
      <w:r w:rsidRPr="00C1458B">
        <w:rPr>
          <w:rFonts w:ascii="Calibri Light" w:hAnsi="Calibri Light"/>
          <w:color w:val="000000"/>
          <w:sz w:val="24"/>
          <w:szCs w:val="24"/>
        </w:rPr>
        <w:t>Ce qui n'arrête pas les acheteurs : ils n'ont jamais été aussi nombreux. En décembre 2017, l'Insee comptabilisait ainsi 968.000 transactions dans l'ancien au cours des douze derniers mois. Un nouveau record historique.</w:t>
      </w:r>
    </w:p>
    <w:p w:rsidR="00B4446F" w:rsidRPr="00C1458B" w:rsidRDefault="00B4446F" w:rsidP="00BC12FB">
      <w:pPr>
        <w:pStyle w:val="NormalWeb"/>
        <w:spacing w:before="0" w:beforeAutospacing="0" w:after="0" w:afterAutospacing="0"/>
        <w:ind w:firstLine="708"/>
        <w:jc w:val="both"/>
        <w:rPr>
          <w:rFonts w:ascii="Calibri Light" w:hAnsi="Calibri Light"/>
          <w:color w:val="000000"/>
          <w:sz w:val="24"/>
          <w:szCs w:val="24"/>
        </w:rPr>
      </w:pPr>
      <w:r w:rsidRPr="00C1458B">
        <w:rPr>
          <w:rFonts w:ascii="Calibri Light" w:hAnsi="Calibri Light"/>
          <w:color w:val="000000"/>
          <w:sz w:val="24"/>
          <w:szCs w:val="24"/>
        </w:rPr>
        <w:t>Enfin, les taux des crédits immobiliers</w:t>
      </w:r>
      <w:r w:rsidR="00F071E7">
        <w:rPr>
          <w:rFonts w:ascii="Calibri Light" w:hAnsi="Calibri Light"/>
          <w:color w:val="000000"/>
          <w:sz w:val="24"/>
          <w:szCs w:val="24"/>
        </w:rPr>
        <w:t xml:space="preserve"> </w:t>
      </w:r>
      <w:r w:rsidR="00F071E7" w:rsidRPr="00F071E7">
        <w:rPr>
          <w:rFonts w:ascii="Calibri Light" w:hAnsi="Calibri Light"/>
          <w:color w:val="000000"/>
          <w:sz w:val="16"/>
          <w:szCs w:val="16"/>
        </w:rPr>
        <w:t>(1)</w:t>
      </w:r>
      <w:r w:rsidRPr="00C1458B">
        <w:rPr>
          <w:rFonts w:ascii="Calibri Light" w:hAnsi="Calibri Light"/>
          <w:color w:val="000000"/>
          <w:sz w:val="24"/>
          <w:szCs w:val="24"/>
        </w:rPr>
        <w:t xml:space="preserve"> sont toujours proches de leurs planchers historiques. En mars 2018, le taux moyen appliqué (toutes durées confondues) était de 1,49% </w:t>
      </w:r>
      <w:hyperlink r:id="rId15" w:tgtFrame="_blank" w:history="1">
        <w:r w:rsidRPr="00C1458B">
          <w:rPr>
            <w:rStyle w:val="Lienhypertexte"/>
            <w:rFonts w:ascii="Calibri Light" w:hAnsi="Calibri Light"/>
            <w:color w:val="000000"/>
            <w:sz w:val="24"/>
            <w:szCs w:val="24"/>
            <w:u w:val="none"/>
          </w:rPr>
          <w:t>selon l'Observatoire Crédit Logement / CSA</w:t>
        </w:r>
      </w:hyperlink>
      <w:r w:rsidRPr="00C1458B">
        <w:rPr>
          <w:rFonts w:ascii="Calibri Light" w:hAnsi="Calibri Light"/>
          <w:color w:val="000000"/>
          <w:sz w:val="24"/>
          <w:szCs w:val="24"/>
        </w:rPr>
        <w:t>. Pour les crédits sur 20 ans, le taux moyen s'établit à 1,46%. La durée moyenne des prêts s'élève quant à elle à 18,25 ans et représente 4,03 années de revenus.</w:t>
      </w:r>
    </w:p>
    <w:p w:rsidR="00877522" w:rsidRDefault="00BC12FB" w:rsidP="009E6C9E">
      <w:pPr>
        <w:spacing w:before="100" w:beforeAutospacing="1" w:after="100" w:afterAutospacing="1" w:line="240" w:lineRule="auto"/>
        <w:jc w:val="right"/>
        <w:rPr>
          <w:rFonts w:ascii="Calibri Light" w:eastAsia="Times New Roman" w:hAnsi="Calibri Light"/>
          <w:sz w:val="24"/>
          <w:szCs w:val="24"/>
          <w:lang w:eastAsia="fr-FR"/>
        </w:rPr>
      </w:pPr>
      <w:r w:rsidRPr="00C1458B">
        <w:rPr>
          <w:rFonts w:ascii="Calibri Light" w:eastAsia="Times New Roman" w:hAnsi="Calibri Light"/>
          <w:b/>
          <w:bCs/>
          <w:sz w:val="24"/>
          <w:szCs w:val="24"/>
          <w:lang w:eastAsia="fr-FR"/>
        </w:rPr>
        <w:t>Source</w:t>
      </w:r>
      <w:r w:rsidRPr="00C1458B">
        <w:rPr>
          <w:rFonts w:ascii="Calibri Light" w:eastAsia="Times New Roman" w:hAnsi="Calibri Light"/>
          <w:sz w:val="24"/>
          <w:szCs w:val="24"/>
          <w:lang w:eastAsia="fr-FR"/>
        </w:rPr>
        <w:t xml:space="preserve"> : </w:t>
      </w:r>
      <w:hyperlink r:id="rId16" w:history="1">
        <w:r w:rsidR="000F38E1" w:rsidRPr="00C1458B">
          <w:rPr>
            <w:rStyle w:val="Lienhypertexte"/>
            <w:rFonts w:ascii="Calibri Light" w:eastAsia="Times New Roman" w:hAnsi="Calibri Light"/>
            <w:sz w:val="24"/>
            <w:szCs w:val="24"/>
            <w:lang w:eastAsia="fr-FR"/>
          </w:rPr>
          <w:t>www.challenges.fr</w:t>
        </w:r>
      </w:hyperlink>
      <w:r w:rsidRPr="00C1458B">
        <w:rPr>
          <w:rFonts w:ascii="Calibri Light" w:eastAsia="Times New Roman" w:hAnsi="Calibri Light"/>
          <w:sz w:val="24"/>
          <w:szCs w:val="24"/>
          <w:lang w:eastAsia="fr-FR"/>
        </w:rPr>
        <w:t xml:space="preserve"> , publié le </w:t>
      </w:r>
      <w:r w:rsidR="000F38E1" w:rsidRPr="00C1458B">
        <w:rPr>
          <w:rFonts w:ascii="Calibri Light" w:eastAsia="Times New Roman" w:hAnsi="Calibri Light"/>
          <w:sz w:val="24"/>
          <w:szCs w:val="24"/>
          <w:lang w:eastAsia="fr-FR"/>
        </w:rPr>
        <w:t>27 avril 2018</w:t>
      </w:r>
    </w:p>
    <w:p w:rsidR="001852CC" w:rsidRPr="00C1458B" w:rsidRDefault="00F071E7" w:rsidP="001852CC">
      <w:pPr>
        <w:spacing w:before="100" w:beforeAutospacing="1" w:after="100" w:afterAutospacing="1" w:line="240" w:lineRule="auto"/>
        <w:rPr>
          <w:rFonts w:ascii="Calibri Light" w:eastAsia="Times New Roman" w:hAnsi="Calibri Light"/>
          <w:sz w:val="24"/>
          <w:szCs w:val="24"/>
          <w:lang w:eastAsia="fr-FR"/>
        </w:rPr>
      </w:pPr>
      <w:r w:rsidRPr="00F071E7">
        <w:rPr>
          <w:rFonts w:ascii="Calibri Light" w:hAnsi="Calibri Light"/>
          <w:color w:val="000000"/>
          <w:sz w:val="16"/>
          <w:szCs w:val="16"/>
        </w:rPr>
        <w:t>(1)</w:t>
      </w:r>
      <w:r w:rsidRPr="00C1458B">
        <w:rPr>
          <w:rFonts w:ascii="Calibri Light" w:hAnsi="Calibri Light"/>
          <w:color w:val="000000"/>
          <w:sz w:val="24"/>
          <w:szCs w:val="24"/>
        </w:rPr>
        <w:t xml:space="preserve"> </w:t>
      </w:r>
      <w:r>
        <w:rPr>
          <w:rFonts w:ascii="Calibri Light" w:hAnsi="Calibri Light"/>
          <w:color w:val="000000"/>
          <w:sz w:val="24"/>
          <w:szCs w:val="24"/>
        </w:rPr>
        <w:t>I</w:t>
      </w:r>
      <w:r w:rsidRPr="00F071E7">
        <w:rPr>
          <w:rFonts w:ascii="Calibri Light" w:eastAsia="Times New Roman" w:hAnsi="Calibri Light"/>
          <w:szCs w:val="20"/>
          <w:lang w:eastAsia="fr-FR"/>
        </w:rPr>
        <w:t>l s’agit du coût de l’emprunt qui est exprimé en pourcentage du montant emprunté.</w:t>
      </w:r>
    </w:p>
    <w:p w:rsidR="001852CC" w:rsidRPr="001852CC" w:rsidRDefault="001852CC" w:rsidP="001852CC">
      <w:pPr>
        <w:numPr>
          <w:ilvl w:val="0"/>
          <w:numId w:val="36"/>
        </w:numPr>
        <w:rPr>
          <w:rFonts w:ascii="Calibri Light" w:hAnsi="Calibri Light"/>
          <w:bCs/>
          <w:color w:val="000000"/>
          <w:sz w:val="24"/>
          <w:szCs w:val="24"/>
        </w:rPr>
      </w:pPr>
      <w:r w:rsidRPr="001852CC">
        <w:rPr>
          <w:rFonts w:ascii="Calibri Light" w:hAnsi="Calibri Light"/>
          <w:bCs/>
          <w:color w:val="000000"/>
          <w:sz w:val="24"/>
          <w:szCs w:val="24"/>
        </w:rPr>
        <w:t>L’évolution des prix de l’immobilier en France at-telle été homogène en 2017 ?</w:t>
      </w:r>
    </w:p>
    <w:p w:rsidR="001852CC" w:rsidRDefault="001852CC" w:rsidP="001852CC">
      <w:pPr>
        <w:numPr>
          <w:ilvl w:val="0"/>
          <w:numId w:val="36"/>
        </w:numPr>
        <w:rPr>
          <w:rFonts w:ascii="Calibri Light" w:hAnsi="Calibri Light"/>
          <w:bCs/>
          <w:color w:val="000000"/>
          <w:sz w:val="24"/>
          <w:szCs w:val="24"/>
        </w:rPr>
      </w:pPr>
      <w:r w:rsidRPr="001852CC">
        <w:rPr>
          <w:rFonts w:ascii="Calibri Light" w:hAnsi="Calibri Light"/>
          <w:bCs/>
          <w:color w:val="000000"/>
          <w:sz w:val="24"/>
          <w:szCs w:val="24"/>
        </w:rPr>
        <w:t>Comment expliquer cette augmentation des prix ?</w:t>
      </w:r>
    </w:p>
    <w:p w:rsidR="00F071E7" w:rsidRPr="001852CC" w:rsidRDefault="00F071E7" w:rsidP="00C97788">
      <w:pPr>
        <w:rPr>
          <w:rFonts w:ascii="Calibri Light" w:hAnsi="Calibri Light"/>
          <w:bCs/>
          <w:color w:val="000000"/>
          <w:sz w:val="24"/>
          <w:szCs w:val="24"/>
        </w:rPr>
      </w:pPr>
    </w:p>
    <w:p w:rsidR="00F071E7" w:rsidRPr="00F071E7" w:rsidRDefault="00F071E7" w:rsidP="00F071E7">
      <w:pPr>
        <w:rPr>
          <w:rFonts w:ascii="Calibri Light" w:hAnsi="Calibri Light"/>
          <w:bCs/>
          <w:color w:val="000000"/>
          <w:sz w:val="24"/>
          <w:szCs w:val="24"/>
        </w:rPr>
      </w:pPr>
    </w:p>
    <w:p w:rsidR="004B63E7" w:rsidRPr="001B6B65" w:rsidRDefault="004B63E7" w:rsidP="009E6C9E"/>
    <w:p w:rsidR="007D26E3" w:rsidRPr="00E06FE3" w:rsidRDefault="001B6B65" w:rsidP="00E06FE3">
      <w:pPr>
        <w:pBdr>
          <w:bottom w:val="single" w:sz="4" w:space="1" w:color="auto"/>
        </w:pBdr>
        <w:jc w:val="center"/>
        <w:rPr>
          <w:rFonts w:ascii="Calibri Light" w:hAnsi="Calibri Light"/>
          <w:b/>
          <w:color w:val="000000"/>
          <w:sz w:val="32"/>
          <w:szCs w:val="32"/>
        </w:rPr>
      </w:pPr>
      <w:r w:rsidRPr="00883B4C">
        <w:rPr>
          <w:rFonts w:ascii="Calibri Light" w:hAnsi="Calibri Light"/>
          <w:b/>
          <w:color w:val="000000"/>
          <w:sz w:val="32"/>
          <w:szCs w:val="32"/>
        </w:rPr>
        <w:lastRenderedPageBreak/>
        <w:t xml:space="preserve">Etape </w:t>
      </w:r>
      <w:r w:rsidR="00992614" w:rsidRPr="00883B4C">
        <w:rPr>
          <w:rFonts w:ascii="Calibri Light" w:hAnsi="Calibri Light"/>
          <w:b/>
          <w:color w:val="000000"/>
          <w:sz w:val="32"/>
          <w:szCs w:val="32"/>
        </w:rPr>
        <w:t>3</w:t>
      </w:r>
      <w:r w:rsidR="00005C80" w:rsidRPr="00883B4C">
        <w:rPr>
          <w:rFonts w:ascii="Calibri Light" w:hAnsi="Calibri Light"/>
          <w:b/>
          <w:color w:val="000000"/>
          <w:sz w:val="32"/>
          <w:szCs w:val="32"/>
        </w:rPr>
        <w:t xml:space="preserve"> : </w:t>
      </w:r>
      <w:r w:rsidR="008746BE" w:rsidRPr="00883B4C">
        <w:rPr>
          <w:rFonts w:ascii="Calibri Light" w:hAnsi="Calibri Light"/>
          <w:b/>
          <w:color w:val="000000"/>
          <w:sz w:val="32"/>
          <w:szCs w:val="32"/>
        </w:rPr>
        <w:t>Tâche finale</w:t>
      </w:r>
      <w:r w:rsidR="00FA66CA" w:rsidRPr="00883B4C">
        <w:rPr>
          <w:rFonts w:ascii="Calibri Light" w:hAnsi="Calibri Light"/>
          <w:b/>
          <w:color w:val="000000"/>
          <w:sz w:val="32"/>
          <w:szCs w:val="32"/>
        </w:rPr>
        <w:t xml:space="preserve"> </w:t>
      </w:r>
    </w:p>
    <w:p w:rsidR="001F148A" w:rsidRDefault="0087208F" w:rsidP="00E06FE3">
      <w:pPr>
        <w:jc w:val="center"/>
        <w:rPr>
          <w:rFonts w:ascii="Calibri Light" w:hAnsi="Calibri Light"/>
          <w:b/>
          <w:i/>
          <w:iCs/>
          <w:color w:val="000000"/>
          <w:sz w:val="28"/>
          <w:szCs w:val="28"/>
        </w:rPr>
      </w:pPr>
      <w:r>
        <w:rPr>
          <w:rFonts w:ascii="Calibri Light" w:hAnsi="Calibri Light"/>
          <w:b/>
          <w:i/>
          <w:iCs/>
          <w:color w:val="000000"/>
          <w:sz w:val="28"/>
          <w:szCs w:val="28"/>
        </w:rPr>
        <w:t>Reproduire et compléter le</w:t>
      </w:r>
      <w:r w:rsidR="00E06FE3">
        <w:rPr>
          <w:rFonts w:ascii="Calibri Light" w:hAnsi="Calibri Light"/>
          <w:b/>
          <w:i/>
          <w:iCs/>
          <w:color w:val="000000"/>
          <w:sz w:val="28"/>
          <w:szCs w:val="28"/>
        </w:rPr>
        <w:t xml:space="preserve"> tableau suivant</w:t>
      </w:r>
      <w:r>
        <w:rPr>
          <w:rFonts w:ascii="Calibri Light" w:hAnsi="Calibri Light"/>
          <w:b/>
          <w:i/>
          <w:iCs/>
          <w:color w:val="000000"/>
          <w:sz w:val="28"/>
          <w:szCs w:val="28"/>
        </w:rPr>
        <w:t xml:space="preserve"> ( format paysage conseillé)</w:t>
      </w:r>
    </w:p>
    <w:p w:rsidR="00E06FE3" w:rsidRDefault="00E06FE3" w:rsidP="00E06FE3">
      <w:pPr>
        <w:jc w:val="center"/>
        <w:rPr>
          <w:rFonts w:ascii="Calibri Light" w:hAnsi="Calibri Light"/>
          <w:b/>
          <w:i/>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701"/>
        <w:gridCol w:w="3735"/>
        <w:gridCol w:w="2652"/>
      </w:tblGrid>
      <w:tr w:rsidR="00C1458B" w:rsidRPr="00C1458B" w:rsidTr="00C1458B">
        <w:tc>
          <w:tcPr>
            <w:tcW w:w="2518" w:type="dxa"/>
            <w:shd w:val="clear" w:color="auto" w:fill="auto"/>
          </w:tcPr>
          <w:p w:rsidR="00E06FE3" w:rsidRPr="00C1458B" w:rsidRDefault="00E06FE3" w:rsidP="00C1458B">
            <w:pPr>
              <w:jc w:val="center"/>
              <w:rPr>
                <w:rFonts w:ascii="Calibri Light" w:hAnsi="Calibri Light"/>
                <w:b/>
                <w:i/>
                <w:iCs/>
                <w:color w:val="000000"/>
                <w:sz w:val="28"/>
                <w:szCs w:val="28"/>
              </w:rPr>
            </w:pPr>
          </w:p>
        </w:tc>
        <w:tc>
          <w:tcPr>
            <w:tcW w:w="1701" w:type="dxa"/>
            <w:shd w:val="clear" w:color="auto" w:fill="auto"/>
          </w:tcPr>
          <w:p w:rsidR="00E06FE3" w:rsidRPr="00C1458B" w:rsidRDefault="0087208F" w:rsidP="00C1458B">
            <w:pPr>
              <w:jc w:val="center"/>
              <w:rPr>
                <w:rFonts w:ascii="Calibri Light" w:hAnsi="Calibri Light"/>
                <w:b/>
                <w:i/>
                <w:iCs/>
                <w:color w:val="000000"/>
                <w:sz w:val="28"/>
                <w:szCs w:val="28"/>
              </w:rPr>
            </w:pPr>
            <w:r w:rsidRPr="00C1458B">
              <w:rPr>
                <w:rFonts w:ascii="Calibri Light" w:hAnsi="Calibri Light"/>
                <w:b/>
                <w:i/>
                <w:iCs/>
                <w:color w:val="000000"/>
                <w:sz w:val="28"/>
                <w:szCs w:val="28"/>
              </w:rPr>
              <w:t>exemple</w:t>
            </w:r>
          </w:p>
        </w:tc>
        <w:tc>
          <w:tcPr>
            <w:tcW w:w="3735" w:type="dxa"/>
            <w:shd w:val="clear" w:color="auto" w:fill="auto"/>
          </w:tcPr>
          <w:p w:rsidR="00E06FE3" w:rsidRPr="00C1458B" w:rsidRDefault="0087208F" w:rsidP="00C1458B">
            <w:pPr>
              <w:jc w:val="center"/>
              <w:rPr>
                <w:rFonts w:ascii="Calibri Light" w:hAnsi="Calibri Light"/>
                <w:b/>
                <w:i/>
                <w:iCs/>
                <w:color w:val="000000"/>
                <w:sz w:val="28"/>
                <w:szCs w:val="28"/>
              </w:rPr>
            </w:pPr>
            <w:r w:rsidRPr="00C1458B">
              <w:rPr>
                <w:rFonts w:ascii="Calibri Light" w:hAnsi="Calibri Light"/>
                <w:b/>
                <w:i/>
                <w:iCs/>
                <w:color w:val="000000"/>
                <w:sz w:val="28"/>
                <w:szCs w:val="28"/>
              </w:rPr>
              <w:t>Représentation graphique</w:t>
            </w:r>
          </w:p>
        </w:tc>
        <w:tc>
          <w:tcPr>
            <w:tcW w:w="2652" w:type="dxa"/>
            <w:shd w:val="clear" w:color="auto" w:fill="auto"/>
          </w:tcPr>
          <w:p w:rsidR="00E06FE3" w:rsidRPr="00C1458B" w:rsidRDefault="0087208F" w:rsidP="00C1458B">
            <w:pPr>
              <w:jc w:val="center"/>
              <w:rPr>
                <w:rFonts w:ascii="Calibri Light" w:hAnsi="Calibri Light"/>
                <w:b/>
                <w:i/>
                <w:iCs/>
                <w:color w:val="000000"/>
                <w:sz w:val="28"/>
                <w:szCs w:val="28"/>
              </w:rPr>
            </w:pPr>
            <w:r w:rsidRPr="00C1458B">
              <w:rPr>
                <w:rFonts w:ascii="Calibri Light" w:hAnsi="Calibri Light"/>
                <w:b/>
                <w:i/>
                <w:iCs/>
                <w:color w:val="000000"/>
                <w:sz w:val="28"/>
                <w:szCs w:val="28"/>
              </w:rPr>
              <w:t>Conséquences sur les prix et les quantités</w:t>
            </w:r>
          </w:p>
        </w:tc>
      </w:tr>
      <w:tr w:rsidR="00C1458B" w:rsidRPr="00C1458B" w:rsidTr="00C1458B">
        <w:tc>
          <w:tcPr>
            <w:tcW w:w="2518" w:type="dxa"/>
            <w:shd w:val="clear" w:color="auto" w:fill="auto"/>
          </w:tcPr>
          <w:p w:rsidR="00E06FE3" w:rsidRPr="00C1458B" w:rsidRDefault="0087208F" w:rsidP="00C1458B">
            <w:pPr>
              <w:jc w:val="center"/>
              <w:rPr>
                <w:rFonts w:ascii="Calibri Light" w:hAnsi="Calibri Light"/>
                <w:bCs/>
                <w:color w:val="000000"/>
                <w:sz w:val="28"/>
                <w:szCs w:val="28"/>
              </w:rPr>
            </w:pPr>
            <w:r w:rsidRPr="00C1458B">
              <w:rPr>
                <w:rFonts w:ascii="Calibri Light" w:hAnsi="Calibri Light"/>
                <w:bCs/>
                <w:color w:val="000000"/>
                <w:sz w:val="28"/>
                <w:szCs w:val="28"/>
              </w:rPr>
              <w:t>Augmentation de l’offre</w:t>
            </w:r>
          </w:p>
        </w:tc>
        <w:tc>
          <w:tcPr>
            <w:tcW w:w="1701" w:type="dxa"/>
            <w:shd w:val="clear" w:color="auto" w:fill="auto"/>
          </w:tcPr>
          <w:p w:rsidR="00E06FE3" w:rsidRPr="00C1458B" w:rsidRDefault="00E06FE3" w:rsidP="00C1458B">
            <w:pPr>
              <w:jc w:val="center"/>
              <w:rPr>
                <w:rFonts w:ascii="Calibri Light" w:hAnsi="Calibri Light"/>
                <w:bCs/>
                <w:color w:val="000000"/>
                <w:sz w:val="28"/>
                <w:szCs w:val="28"/>
              </w:rPr>
            </w:pPr>
          </w:p>
        </w:tc>
        <w:tc>
          <w:tcPr>
            <w:tcW w:w="3735" w:type="dxa"/>
            <w:shd w:val="clear" w:color="auto" w:fill="auto"/>
          </w:tcPr>
          <w:p w:rsidR="00E06FE3" w:rsidRPr="00C1458B" w:rsidRDefault="00E06FE3" w:rsidP="00C1458B">
            <w:pPr>
              <w:jc w:val="center"/>
              <w:rPr>
                <w:rFonts w:ascii="Calibri Light" w:hAnsi="Calibri Light"/>
                <w:bCs/>
                <w:color w:val="000000"/>
                <w:sz w:val="28"/>
                <w:szCs w:val="28"/>
              </w:rPr>
            </w:pPr>
          </w:p>
        </w:tc>
        <w:tc>
          <w:tcPr>
            <w:tcW w:w="2652" w:type="dxa"/>
            <w:shd w:val="clear" w:color="auto" w:fill="auto"/>
          </w:tcPr>
          <w:p w:rsidR="00E06FE3" w:rsidRPr="00C1458B" w:rsidRDefault="00E06FE3" w:rsidP="00C1458B">
            <w:pPr>
              <w:jc w:val="center"/>
              <w:rPr>
                <w:rFonts w:ascii="Calibri Light" w:hAnsi="Calibri Light"/>
                <w:bCs/>
                <w:color w:val="000000"/>
                <w:sz w:val="28"/>
                <w:szCs w:val="28"/>
              </w:rPr>
            </w:pPr>
          </w:p>
        </w:tc>
      </w:tr>
      <w:tr w:rsidR="00C1458B" w:rsidRPr="00C1458B" w:rsidTr="00C1458B">
        <w:tc>
          <w:tcPr>
            <w:tcW w:w="2518" w:type="dxa"/>
            <w:shd w:val="clear" w:color="auto" w:fill="auto"/>
          </w:tcPr>
          <w:p w:rsidR="00E06FE3" w:rsidRPr="00C1458B" w:rsidRDefault="0087208F" w:rsidP="00C1458B">
            <w:pPr>
              <w:jc w:val="center"/>
              <w:rPr>
                <w:rFonts w:ascii="Calibri Light" w:hAnsi="Calibri Light"/>
                <w:bCs/>
                <w:color w:val="000000"/>
                <w:sz w:val="28"/>
                <w:szCs w:val="28"/>
              </w:rPr>
            </w:pPr>
            <w:r w:rsidRPr="00C1458B">
              <w:rPr>
                <w:rFonts w:ascii="Calibri Light" w:hAnsi="Calibri Light"/>
                <w:bCs/>
                <w:color w:val="000000"/>
                <w:sz w:val="28"/>
                <w:szCs w:val="28"/>
              </w:rPr>
              <w:t>Diminution de l’offre</w:t>
            </w:r>
          </w:p>
        </w:tc>
        <w:tc>
          <w:tcPr>
            <w:tcW w:w="1701" w:type="dxa"/>
            <w:shd w:val="clear" w:color="auto" w:fill="auto"/>
          </w:tcPr>
          <w:p w:rsidR="00E06FE3" w:rsidRPr="00C1458B" w:rsidRDefault="00E06FE3" w:rsidP="00C1458B">
            <w:pPr>
              <w:jc w:val="center"/>
              <w:rPr>
                <w:rFonts w:ascii="Calibri Light" w:hAnsi="Calibri Light"/>
                <w:bCs/>
                <w:color w:val="000000"/>
                <w:sz w:val="28"/>
                <w:szCs w:val="28"/>
              </w:rPr>
            </w:pPr>
          </w:p>
        </w:tc>
        <w:tc>
          <w:tcPr>
            <w:tcW w:w="3735" w:type="dxa"/>
            <w:shd w:val="clear" w:color="auto" w:fill="auto"/>
          </w:tcPr>
          <w:p w:rsidR="00E06FE3" w:rsidRPr="00C1458B" w:rsidRDefault="00E06FE3" w:rsidP="00C1458B">
            <w:pPr>
              <w:jc w:val="center"/>
              <w:rPr>
                <w:rFonts w:ascii="Calibri Light" w:hAnsi="Calibri Light"/>
                <w:bCs/>
                <w:color w:val="000000"/>
                <w:sz w:val="28"/>
                <w:szCs w:val="28"/>
              </w:rPr>
            </w:pPr>
          </w:p>
        </w:tc>
        <w:tc>
          <w:tcPr>
            <w:tcW w:w="2652" w:type="dxa"/>
            <w:shd w:val="clear" w:color="auto" w:fill="auto"/>
          </w:tcPr>
          <w:p w:rsidR="00E06FE3" w:rsidRPr="00C1458B" w:rsidRDefault="00E06FE3" w:rsidP="00C1458B">
            <w:pPr>
              <w:jc w:val="center"/>
              <w:rPr>
                <w:rFonts w:ascii="Calibri Light" w:hAnsi="Calibri Light"/>
                <w:bCs/>
                <w:color w:val="000000"/>
                <w:sz w:val="28"/>
                <w:szCs w:val="28"/>
              </w:rPr>
            </w:pPr>
          </w:p>
        </w:tc>
      </w:tr>
      <w:tr w:rsidR="00C1458B" w:rsidRPr="00C1458B" w:rsidTr="00C1458B">
        <w:tc>
          <w:tcPr>
            <w:tcW w:w="2518" w:type="dxa"/>
            <w:shd w:val="clear" w:color="auto" w:fill="auto"/>
          </w:tcPr>
          <w:p w:rsidR="00E06FE3" w:rsidRPr="00C1458B" w:rsidRDefault="0087208F" w:rsidP="00C1458B">
            <w:pPr>
              <w:jc w:val="center"/>
              <w:rPr>
                <w:rFonts w:ascii="Calibri Light" w:hAnsi="Calibri Light"/>
                <w:bCs/>
                <w:color w:val="000000"/>
                <w:sz w:val="28"/>
                <w:szCs w:val="28"/>
              </w:rPr>
            </w:pPr>
            <w:r w:rsidRPr="00C1458B">
              <w:rPr>
                <w:rFonts w:ascii="Calibri Light" w:hAnsi="Calibri Light"/>
                <w:bCs/>
                <w:color w:val="000000"/>
                <w:sz w:val="28"/>
                <w:szCs w:val="28"/>
              </w:rPr>
              <w:t>Augmentation de la demande</w:t>
            </w:r>
          </w:p>
        </w:tc>
        <w:tc>
          <w:tcPr>
            <w:tcW w:w="1701" w:type="dxa"/>
            <w:shd w:val="clear" w:color="auto" w:fill="auto"/>
          </w:tcPr>
          <w:p w:rsidR="00E06FE3" w:rsidRPr="00C1458B" w:rsidRDefault="00E06FE3" w:rsidP="00C1458B">
            <w:pPr>
              <w:jc w:val="center"/>
              <w:rPr>
                <w:rFonts w:ascii="Calibri Light" w:hAnsi="Calibri Light"/>
                <w:bCs/>
                <w:color w:val="000000"/>
                <w:sz w:val="28"/>
                <w:szCs w:val="28"/>
              </w:rPr>
            </w:pPr>
          </w:p>
        </w:tc>
        <w:tc>
          <w:tcPr>
            <w:tcW w:w="3735" w:type="dxa"/>
            <w:shd w:val="clear" w:color="auto" w:fill="auto"/>
          </w:tcPr>
          <w:p w:rsidR="00E06FE3" w:rsidRPr="00C1458B" w:rsidRDefault="00E06FE3" w:rsidP="00C1458B">
            <w:pPr>
              <w:jc w:val="center"/>
              <w:rPr>
                <w:rFonts w:ascii="Calibri Light" w:hAnsi="Calibri Light"/>
                <w:bCs/>
                <w:color w:val="000000"/>
                <w:sz w:val="28"/>
                <w:szCs w:val="28"/>
              </w:rPr>
            </w:pPr>
          </w:p>
        </w:tc>
        <w:tc>
          <w:tcPr>
            <w:tcW w:w="2652" w:type="dxa"/>
            <w:shd w:val="clear" w:color="auto" w:fill="auto"/>
          </w:tcPr>
          <w:p w:rsidR="00E06FE3" w:rsidRPr="00C1458B" w:rsidRDefault="00E06FE3" w:rsidP="00C1458B">
            <w:pPr>
              <w:jc w:val="center"/>
              <w:rPr>
                <w:rFonts w:ascii="Calibri Light" w:hAnsi="Calibri Light"/>
                <w:bCs/>
                <w:color w:val="000000"/>
                <w:sz w:val="28"/>
                <w:szCs w:val="28"/>
              </w:rPr>
            </w:pPr>
          </w:p>
        </w:tc>
      </w:tr>
      <w:tr w:rsidR="00C1458B" w:rsidRPr="00C1458B" w:rsidTr="00C1458B">
        <w:tc>
          <w:tcPr>
            <w:tcW w:w="2518" w:type="dxa"/>
            <w:shd w:val="clear" w:color="auto" w:fill="auto"/>
          </w:tcPr>
          <w:p w:rsidR="00E06FE3" w:rsidRPr="00C1458B" w:rsidRDefault="0087208F" w:rsidP="00C1458B">
            <w:pPr>
              <w:jc w:val="center"/>
              <w:rPr>
                <w:rFonts w:ascii="Calibri Light" w:hAnsi="Calibri Light"/>
                <w:bCs/>
                <w:color w:val="000000"/>
                <w:sz w:val="28"/>
                <w:szCs w:val="28"/>
              </w:rPr>
            </w:pPr>
            <w:r w:rsidRPr="00C1458B">
              <w:rPr>
                <w:rFonts w:ascii="Calibri Light" w:hAnsi="Calibri Light"/>
                <w:bCs/>
                <w:color w:val="000000"/>
                <w:sz w:val="28"/>
                <w:szCs w:val="28"/>
              </w:rPr>
              <w:t>Diminution de la demande</w:t>
            </w:r>
          </w:p>
        </w:tc>
        <w:tc>
          <w:tcPr>
            <w:tcW w:w="1701" w:type="dxa"/>
            <w:shd w:val="clear" w:color="auto" w:fill="auto"/>
          </w:tcPr>
          <w:p w:rsidR="00E06FE3" w:rsidRPr="00C1458B" w:rsidRDefault="00E06FE3" w:rsidP="00C1458B">
            <w:pPr>
              <w:jc w:val="center"/>
              <w:rPr>
                <w:rFonts w:ascii="Calibri Light" w:hAnsi="Calibri Light"/>
                <w:bCs/>
                <w:color w:val="000000"/>
                <w:sz w:val="28"/>
                <w:szCs w:val="28"/>
              </w:rPr>
            </w:pPr>
          </w:p>
        </w:tc>
        <w:tc>
          <w:tcPr>
            <w:tcW w:w="3735" w:type="dxa"/>
            <w:shd w:val="clear" w:color="auto" w:fill="auto"/>
          </w:tcPr>
          <w:p w:rsidR="00E06FE3" w:rsidRPr="00C1458B" w:rsidRDefault="00E06FE3" w:rsidP="00C1458B">
            <w:pPr>
              <w:jc w:val="center"/>
              <w:rPr>
                <w:rFonts w:ascii="Calibri Light" w:hAnsi="Calibri Light"/>
                <w:bCs/>
                <w:color w:val="000000"/>
                <w:sz w:val="28"/>
                <w:szCs w:val="28"/>
              </w:rPr>
            </w:pPr>
          </w:p>
        </w:tc>
        <w:tc>
          <w:tcPr>
            <w:tcW w:w="2652" w:type="dxa"/>
            <w:shd w:val="clear" w:color="auto" w:fill="auto"/>
          </w:tcPr>
          <w:p w:rsidR="00E06FE3" w:rsidRPr="00C1458B" w:rsidRDefault="00E06FE3" w:rsidP="00C1458B">
            <w:pPr>
              <w:jc w:val="center"/>
              <w:rPr>
                <w:rFonts w:ascii="Calibri Light" w:hAnsi="Calibri Light"/>
                <w:bCs/>
                <w:color w:val="000000"/>
                <w:sz w:val="28"/>
                <w:szCs w:val="28"/>
              </w:rPr>
            </w:pPr>
          </w:p>
        </w:tc>
      </w:tr>
    </w:tbl>
    <w:p w:rsidR="00E06FE3" w:rsidRPr="00133F95" w:rsidRDefault="00E06FE3" w:rsidP="00E06FE3">
      <w:pPr>
        <w:jc w:val="center"/>
        <w:rPr>
          <w:rFonts w:ascii="Calibri Light" w:hAnsi="Calibri Light"/>
          <w:b/>
          <w:i/>
          <w:iCs/>
          <w:color w:val="000000"/>
          <w:sz w:val="28"/>
          <w:szCs w:val="28"/>
        </w:rPr>
      </w:pPr>
    </w:p>
    <w:sectPr w:rsidR="00E06FE3" w:rsidRPr="00133F95" w:rsidSect="00CF1CBD">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E88" w:rsidRDefault="00E07E88" w:rsidP="00EB5D8A">
      <w:pPr>
        <w:spacing w:after="0" w:line="240" w:lineRule="auto"/>
      </w:pPr>
      <w:r>
        <w:separator/>
      </w:r>
    </w:p>
  </w:endnote>
  <w:endnote w:type="continuationSeparator" w:id="0">
    <w:p w:rsidR="00E07E88" w:rsidRDefault="00E07E88"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26545">
      <w:rPr>
        <w:rFonts w:ascii="Times New Roman" w:hAnsi="Times New Roman"/>
        <w:noProof/>
      </w:rPr>
      <w:t>1</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826545">
      <w:rPr>
        <w:rFonts w:ascii="Times New Roman" w:hAnsi="Times New Roman"/>
        <w:noProof/>
      </w:rPr>
      <w:t>4</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E88" w:rsidRDefault="00E07E88" w:rsidP="00EB5D8A">
      <w:pPr>
        <w:spacing w:after="0" w:line="240" w:lineRule="auto"/>
      </w:pPr>
      <w:r>
        <w:separator/>
      </w:r>
    </w:p>
  </w:footnote>
  <w:footnote w:type="continuationSeparator" w:id="0">
    <w:p w:rsidR="00E07E88" w:rsidRDefault="00E07E88"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En-tte"/>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26545">
      <w:rPr>
        <w:rFonts w:ascii="Times New Roman" w:hAnsi="Times New Roman"/>
        <w:noProof/>
      </w:rPr>
      <w:t>1</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826545">
      <w:rPr>
        <w:rFonts w:ascii="Times New Roman" w:hAnsi="Times New Roman"/>
        <w:noProof/>
      </w:rPr>
      <w:t>4</w:t>
    </w:r>
    <w:r>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04324B"/>
    <w:multiLevelType w:val="hybridMultilevel"/>
    <w:tmpl w:val="1AB026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E70BC7"/>
    <w:multiLevelType w:val="hybridMultilevel"/>
    <w:tmpl w:val="EBD84C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0D301D9"/>
    <w:multiLevelType w:val="hybridMultilevel"/>
    <w:tmpl w:val="40EE71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A4340F"/>
    <w:multiLevelType w:val="hybridMultilevel"/>
    <w:tmpl w:val="D9F086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F3543AE"/>
    <w:multiLevelType w:val="hybridMultilevel"/>
    <w:tmpl w:val="E6E2F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B02CDB"/>
    <w:multiLevelType w:val="hybridMultilevel"/>
    <w:tmpl w:val="BEE8786E"/>
    <w:lvl w:ilvl="0" w:tplc="6532A544">
      <w:start w:val="1"/>
      <w:numFmt w:val="decimal"/>
      <w:lvlText w:val="(%1)"/>
      <w:lvlJc w:val="left"/>
      <w:pPr>
        <w:ind w:left="720" w:hanging="360"/>
      </w:pPr>
      <w:rPr>
        <w:rFonts w:hint="default"/>
        <w:sz w:val="16"/>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1">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8F3C19"/>
    <w:multiLevelType w:val="hybridMultilevel"/>
    <w:tmpl w:val="32646F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801B6D"/>
    <w:multiLevelType w:val="hybridMultilevel"/>
    <w:tmpl w:val="48486A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4">
    <w:nsid w:val="71F64BA3"/>
    <w:multiLevelType w:val="hybridMultilevel"/>
    <w:tmpl w:val="D40C6224"/>
    <w:lvl w:ilvl="0" w:tplc="2FF6464A">
      <w:start w:val="1"/>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3"/>
  </w:num>
  <w:num w:numId="3">
    <w:abstractNumId w:val="1"/>
  </w:num>
  <w:num w:numId="4">
    <w:abstractNumId w:val="8"/>
  </w:num>
  <w:num w:numId="5">
    <w:abstractNumId w:val="20"/>
  </w:num>
  <w:num w:numId="6">
    <w:abstractNumId w:val="33"/>
  </w:num>
  <w:num w:numId="7">
    <w:abstractNumId w:val="35"/>
  </w:num>
  <w:num w:numId="8">
    <w:abstractNumId w:val="5"/>
  </w:num>
  <w:num w:numId="9">
    <w:abstractNumId w:val="16"/>
  </w:num>
  <w:num w:numId="10">
    <w:abstractNumId w:val="29"/>
  </w:num>
  <w:num w:numId="11">
    <w:abstractNumId w:val="7"/>
  </w:num>
  <w:num w:numId="12">
    <w:abstractNumId w:val="18"/>
  </w:num>
  <w:num w:numId="13">
    <w:abstractNumId w:val="15"/>
  </w:num>
  <w:num w:numId="14">
    <w:abstractNumId w:val="10"/>
  </w:num>
  <w:num w:numId="15">
    <w:abstractNumId w:val="26"/>
  </w:num>
  <w:num w:numId="16">
    <w:abstractNumId w:val="37"/>
  </w:num>
  <w:num w:numId="17">
    <w:abstractNumId w:val="21"/>
  </w:num>
  <w:num w:numId="18">
    <w:abstractNumId w:val="6"/>
  </w:num>
  <w:num w:numId="19">
    <w:abstractNumId w:val="36"/>
  </w:num>
  <w:num w:numId="20">
    <w:abstractNumId w:val="19"/>
  </w:num>
  <w:num w:numId="21">
    <w:abstractNumId w:val="0"/>
  </w:num>
  <w:num w:numId="22">
    <w:abstractNumId w:val="12"/>
  </w:num>
  <w:num w:numId="23">
    <w:abstractNumId w:val="27"/>
  </w:num>
  <w:num w:numId="24">
    <w:abstractNumId w:val="17"/>
  </w:num>
  <w:num w:numId="25">
    <w:abstractNumId w:val="31"/>
  </w:num>
  <w:num w:numId="26">
    <w:abstractNumId w:val="32"/>
  </w:num>
  <w:num w:numId="27">
    <w:abstractNumId w:val="23"/>
  </w:num>
  <w:num w:numId="28">
    <w:abstractNumId w:val="24"/>
  </w:num>
  <w:num w:numId="29">
    <w:abstractNumId w:val="38"/>
  </w:num>
  <w:num w:numId="30">
    <w:abstractNumId w:val="30"/>
  </w:num>
  <w:num w:numId="31">
    <w:abstractNumId w:val="28"/>
  </w:num>
  <w:num w:numId="32">
    <w:abstractNumId w:val="4"/>
  </w:num>
  <w:num w:numId="33">
    <w:abstractNumId w:val="13"/>
  </w:num>
  <w:num w:numId="34">
    <w:abstractNumId w:val="34"/>
  </w:num>
  <w:num w:numId="35">
    <w:abstractNumId w:val="2"/>
  </w:num>
  <w:num w:numId="36">
    <w:abstractNumId w:val="25"/>
  </w:num>
  <w:num w:numId="37">
    <w:abstractNumId w:val="14"/>
  </w:num>
  <w:num w:numId="38">
    <w:abstractNumId w:val="11"/>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32954"/>
    <w:rsid w:val="00046018"/>
    <w:rsid w:val="00080584"/>
    <w:rsid w:val="00084A72"/>
    <w:rsid w:val="000C20E6"/>
    <w:rsid w:val="000D5C1B"/>
    <w:rsid w:val="000D7FB7"/>
    <w:rsid w:val="000E4334"/>
    <w:rsid w:val="000E6E11"/>
    <w:rsid w:val="000F38E1"/>
    <w:rsid w:val="00105A04"/>
    <w:rsid w:val="001148A2"/>
    <w:rsid w:val="00117321"/>
    <w:rsid w:val="00121BA9"/>
    <w:rsid w:val="00133F95"/>
    <w:rsid w:val="0013462D"/>
    <w:rsid w:val="00142C43"/>
    <w:rsid w:val="00152B12"/>
    <w:rsid w:val="00170E93"/>
    <w:rsid w:val="00171DED"/>
    <w:rsid w:val="001761C3"/>
    <w:rsid w:val="00181944"/>
    <w:rsid w:val="001831C6"/>
    <w:rsid w:val="001852CC"/>
    <w:rsid w:val="001A7875"/>
    <w:rsid w:val="001B6B65"/>
    <w:rsid w:val="001C5FCB"/>
    <w:rsid w:val="001E14C1"/>
    <w:rsid w:val="001E4721"/>
    <w:rsid w:val="001F148A"/>
    <w:rsid w:val="00233789"/>
    <w:rsid w:val="00236049"/>
    <w:rsid w:val="00237FFE"/>
    <w:rsid w:val="00255728"/>
    <w:rsid w:val="00264526"/>
    <w:rsid w:val="00287998"/>
    <w:rsid w:val="002B464A"/>
    <w:rsid w:val="002C5628"/>
    <w:rsid w:val="002D68F9"/>
    <w:rsid w:val="003214D9"/>
    <w:rsid w:val="00326BE3"/>
    <w:rsid w:val="003468FB"/>
    <w:rsid w:val="0035212D"/>
    <w:rsid w:val="00375316"/>
    <w:rsid w:val="00397AFB"/>
    <w:rsid w:val="003B4F0C"/>
    <w:rsid w:val="003D4FA4"/>
    <w:rsid w:val="003D69A5"/>
    <w:rsid w:val="0040599E"/>
    <w:rsid w:val="00443855"/>
    <w:rsid w:val="0045053C"/>
    <w:rsid w:val="004827E2"/>
    <w:rsid w:val="0049588C"/>
    <w:rsid w:val="004B63E7"/>
    <w:rsid w:val="004D0B9C"/>
    <w:rsid w:val="004E69C1"/>
    <w:rsid w:val="005038E9"/>
    <w:rsid w:val="00506EBE"/>
    <w:rsid w:val="00512044"/>
    <w:rsid w:val="00515325"/>
    <w:rsid w:val="00516B49"/>
    <w:rsid w:val="00520627"/>
    <w:rsid w:val="00532465"/>
    <w:rsid w:val="00535768"/>
    <w:rsid w:val="00544CBD"/>
    <w:rsid w:val="005647E0"/>
    <w:rsid w:val="00565070"/>
    <w:rsid w:val="00576A57"/>
    <w:rsid w:val="005A4342"/>
    <w:rsid w:val="005C5295"/>
    <w:rsid w:val="005C7018"/>
    <w:rsid w:val="005D43FF"/>
    <w:rsid w:val="005E6B69"/>
    <w:rsid w:val="00620F63"/>
    <w:rsid w:val="006413FB"/>
    <w:rsid w:val="006442D6"/>
    <w:rsid w:val="0064703D"/>
    <w:rsid w:val="006604C0"/>
    <w:rsid w:val="00662220"/>
    <w:rsid w:val="00662D1A"/>
    <w:rsid w:val="006712C4"/>
    <w:rsid w:val="00691314"/>
    <w:rsid w:val="00692157"/>
    <w:rsid w:val="0069239E"/>
    <w:rsid w:val="006A14B9"/>
    <w:rsid w:val="006A3566"/>
    <w:rsid w:val="006B1E32"/>
    <w:rsid w:val="006B5449"/>
    <w:rsid w:val="006F0F5F"/>
    <w:rsid w:val="006F5A61"/>
    <w:rsid w:val="00711876"/>
    <w:rsid w:val="007148E1"/>
    <w:rsid w:val="007323CB"/>
    <w:rsid w:val="00764812"/>
    <w:rsid w:val="007745D4"/>
    <w:rsid w:val="00791E29"/>
    <w:rsid w:val="00795214"/>
    <w:rsid w:val="007A36F5"/>
    <w:rsid w:val="007A4A86"/>
    <w:rsid w:val="007C2EC3"/>
    <w:rsid w:val="007C6551"/>
    <w:rsid w:val="007D0ABA"/>
    <w:rsid w:val="007D26E3"/>
    <w:rsid w:val="007D509D"/>
    <w:rsid w:val="007E5768"/>
    <w:rsid w:val="007E57C1"/>
    <w:rsid w:val="007F50C0"/>
    <w:rsid w:val="00815ED0"/>
    <w:rsid w:val="00817138"/>
    <w:rsid w:val="00824E6F"/>
    <w:rsid w:val="00826545"/>
    <w:rsid w:val="00841571"/>
    <w:rsid w:val="0087208F"/>
    <w:rsid w:val="008746BE"/>
    <w:rsid w:val="00877522"/>
    <w:rsid w:val="00881A17"/>
    <w:rsid w:val="00883B4C"/>
    <w:rsid w:val="00890E6E"/>
    <w:rsid w:val="008C0863"/>
    <w:rsid w:val="008C4534"/>
    <w:rsid w:val="008C523D"/>
    <w:rsid w:val="008C6834"/>
    <w:rsid w:val="008D593B"/>
    <w:rsid w:val="008F751A"/>
    <w:rsid w:val="009034A9"/>
    <w:rsid w:val="00912AC7"/>
    <w:rsid w:val="009261C7"/>
    <w:rsid w:val="00942073"/>
    <w:rsid w:val="009509DD"/>
    <w:rsid w:val="00951201"/>
    <w:rsid w:val="009526A8"/>
    <w:rsid w:val="00952E73"/>
    <w:rsid w:val="00962EC8"/>
    <w:rsid w:val="00967CC6"/>
    <w:rsid w:val="00970F37"/>
    <w:rsid w:val="00977609"/>
    <w:rsid w:val="00991D5F"/>
    <w:rsid w:val="00992614"/>
    <w:rsid w:val="00996E7E"/>
    <w:rsid w:val="00997C2D"/>
    <w:rsid w:val="009E3856"/>
    <w:rsid w:val="009E6C9E"/>
    <w:rsid w:val="00A16A11"/>
    <w:rsid w:val="00A360A6"/>
    <w:rsid w:val="00A4504B"/>
    <w:rsid w:val="00A7222E"/>
    <w:rsid w:val="00A876D9"/>
    <w:rsid w:val="00A90E7C"/>
    <w:rsid w:val="00AA2FC4"/>
    <w:rsid w:val="00AA3C91"/>
    <w:rsid w:val="00AA5267"/>
    <w:rsid w:val="00AA7147"/>
    <w:rsid w:val="00AC35D6"/>
    <w:rsid w:val="00AF7F33"/>
    <w:rsid w:val="00B00D67"/>
    <w:rsid w:val="00B24226"/>
    <w:rsid w:val="00B24A1D"/>
    <w:rsid w:val="00B4446F"/>
    <w:rsid w:val="00B616A4"/>
    <w:rsid w:val="00B877E0"/>
    <w:rsid w:val="00B92B8C"/>
    <w:rsid w:val="00BA2413"/>
    <w:rsid w:val="00BB4247"/>
    <w:rsid w:val="00BB6228"/>
    <w:rsid w:val="00BC12FB"/>
    <w:rsid w:val="00BC7678"/>
    <w:rsid w:val="00BD42B7"/>
    <w:rsid w:val="00BE5919"/>
    <w:rsid w:val="00BF4769"/>
    <w:rsid w:val="00C026C0"/>
    <w:rsid w:val="00C02A97"/>
    <w:rsid w:val="00C1458B"/>
    <w:rsid w:val="00C21788"/>
    <w:rsid w:val="00C23D7B"/>
    <w:rsid w:val="00C2560D"/>
    <w:rsid w:val="00C60BBB"/>
    <w:rsid w:val="00C60D0C"/>
    <w:rsid w:val="00C64235"/>
    <w:rsid w:val="00C7019B"/>
    <w:rsid w:val="00C72259"/>
    <w:rsid w:val="00C7639A"/>
    <w:rsid w:val="00C825B7"/>
    <w:rsid w:val="00C854A8"/>
    <w:rsid w:val="00C94AC9"/>
    <w:rsid w:val="00C94F10"/>
    <w:rsid w:val="00C97788"/>
    <w:rsid w:val="00CA11CF"/>
    <w:rsid w:val="00CC18C5"/>
    <w:rsid w:val="00CC2409"/>
    <w:rsid w:val="00CD7C68"/>
    <w:rsid w:val="00CF1CBD"/>
    <w:rsid w:val="00D02BE8"/>
    <w:rsid w:val="00D03380"/>
    <w:rsid w:val="00D26A53"/>
    <w:rsid w:val="00D308AB"/>
    <w:rsid w:val="00D546A0"/>
    <w:rsid w:val="00D57A70"/>
    <w:rsid w:val="00D859E0"/>
    <w:rsid w:val="00DB59B3"/>
    <w:rsid w:val="00DC4B0F"/>
    <w:rsid w:val="00DF5BE1"/>
    <w:rsid w:val="00E06FE3"/>
    <w:rsid w:val="00E07E88"/>
    <w:rsid w:val="00E10563"/>
    <w:rsid w:val="00E34EC4"/>
    <w:rsid w:val="00E355D9"/>
    <w:rsid w:val="00E46649"/>
    <w:rsid w:val="00E54287"/>
    <w:rsid w:val="00E556B9"/>
    <w:rsid w:val="00E55F95"/>
    <w:rsid w:val="00E7679E"/>
    <w:rsid w:val="00E849E8"/>
    <w:rsid w:val="00E912BB"/>
    <w:rsid w:val="00EB5D8A"/>
    <w:rsid w:val="00EB724B"/>
    <w:rsid w:val="00EC540B"/>
    <w:rsid w:val="00EC58DB"/>
    <w:rsid w:val="00EE5BDA"/>
    <w:rsid w:val="00EF340C"/>
    <w:rsid w:val="00F0161C"/>
    <w:rsid w:val="00F01F9C"/>
    <w:rsid w:val="00F071E7"/>
    <w:rsid w:val="00F31EFD"/>
    <w:rsid w:val="00F44545"/>
    <w:rsid w:val="00F53367"/>
    <w:rsid w:val="00F717E6"/>
    <w:rsid w:val="00F82176"/>
    <w:rsid w:val="00FA2A18"/>
    <w:rsid w:val="00FA2EC2"/>
    <w:rsid w:val="00FA66CA"/>
    <w:rsid w:val="00FB0853"/>
    <w:rsid w:val="00FB1DAF"/>
    <w:rsid w:val="00FD68A1"/>
    <w:rsid w:val="00FF0E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spacing w:after="200" w:line="276" w:lineRule="auto"/>
      <w:jc w:val="both"/>
    </w:pPr>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970F37"/>
    <w:rPr>
      <w:rFonts w:ascii="Calibri Light" w:hAnsi="Calibri Light"/>
      <w:bCs/>
      <w:noProof/>
      <w:color w:val="000000"/>
      <w:sz w:val="24"/>
      <w:szCs w:val="24"/>
    </w:rPr>
  </w:style>
  <w:style w:type="table" w:styleId="Grilledutableau">
    <w:name w:val="Table Grid"/>
    <w:basedOn w:val="TableauNormal"/>
    <w:uiPriority w:val="59"/>
    <w:rsid w:val="00C72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sz w:val="16"/>
      <w:szCs w:val="16"/>
      <w:lang/>
    </w:rPr>
  </w:style>
  <w:style w:type="character" w:customStyle="1" w:styleId="TextedebullesCar">
    <w:name w:val="Texte de bulles Car"/>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uiPriority w:val="99"/>
    <w:unhideWhenUsed/>
    <w:rsid w:val="001E14C1"/>
    <w:rPr>
      <w:color w:val="0000FF"/>
      <w:u w:val="single"/>
    </w:rPr>
  </w:style>
  <w:style w:type="character" w:styleId="Lienhypertextesuivivisit">
    <w:name w:val="FollowedHyperlink"/>
    <w:uiPriority w:val="99"/>
    <w:semiHidden/>
    <w:unhideWhenUsed/>
    <w:rsid w:val="00BD42B7"/>
    <w:rPr>
      <w:color w:val="800080"/>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rPr>
      <w:szCs w:val="20"/>
      <w:lang/>
    </w:rPr>
  </w:style>
  <w:style w:type="character" w:customStyle="1" w:styleId="En-tteCar">
    <w:name w:val="En-tête Car"/>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rPr>
      <w:szCs w:val="20"/>
      <w:lang/>
    </w:rPr>
  </w:style>
  <w:style w:type="character" w:customStyle="1" w:styleId="PieddepageCar">
    <w:name w:val="Pied de page Car"/>
    <w:link w:val="Pieddepage"/>
    <w:uiPriority w:val="99"/>
    <w:rsid w:val="00EB5D8A"/>
    <w:rPr>
      <w:rFonts w:ascii="Calibri" w:hAnsi="Calibri" w:cs="Times New Roman"/>
      <w:sz w:val="20"/>
    </w:rPr>
  </w:style>
  <w:style w:type="character" w:customStyle="1" w:styleId="Mentionnonrsolue">
    <w:name w:val="Mention non résolue"/>
    <w:uiPriority w:val="99"/>
    <w:semiHidden/>
    <w:unhideWhenUsed/>
    <w:rsid w:val="004B63E7"/>
    <w:rPr>
      <w:color w:val="605E5C"/>
      <w:shd w:val="clear" w:color="auto" w:fill="E1DFDD"/>
    </w:rPr>
  </w:style>
  <w:style w:type="paragraph" w:customStyle="1" w:styleId="articleparagraph">
    <w:name w:val="article__paragraph"/>
    <w:basedOn w:val="Normal"/>
    <w:rsid w:val="009E6C9E"/>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Accentuation">
    <w:name w:val="Emphasis"/>
    <w:uiPriority w:val="20"/>
    <w:qFormat/>
    <w:rsid w:val="009E6C9E"/>
    <w:rPr>
      <w:i/>
      <w:iCs/>
    </w:rPr>
  </w:style>
</w:styles>
</file>

<file path=word/webSettings.xml><?xml version="1.0" encoding="utf-8"?>
<w:webSettings xmlns:r="http://schemas.openxmlformats.org/officeDocument/2006/relationships" xmlns:w="http://schemas.openxmlformats.org/wordprocessingml/2006/main">
  <w:divs>
    <w:div w:id="4133556">
      <w:bodyDiv w:val="1"/>
      <w:marLeft w:val="0"/>
      <w:marRight w:val="0"/>
      <w:marTop w:val="0"/>
      <w:marBottom w:val="0"/>
      <w:divBdr>
        <w:top w:val="none" w:sz="0" w:space="0" w:color="auto"/>
        <w:left w:val="none" w:sz="0" w:space="0" w:color="auto"/>
        <w:bottom w:val="none" w:sz="0" w:space="0" w:color="auto"/>
        <w:right w:val="none" w:sz="0" w:space="0" w:color="auto"/>
      </w:divBdr>
    </w:div>
    <w:div w:id="340471234">
      <w:bodyDiv w:val="1"/>
      <w:marLeft w:val="0"/>
      <w:marRight w:val="0"/>
      <w:marTop w:val="0"/>
      <w:marBottom w:val="0"/>
      <w:divBdr>
        <w:top w:val="none" w:sz="0" w:space="0" w:color="auto"/>
        <w:left w:val="none" w:sz="0" w:space="0" w:color="auto"/>
        <w:bottom w:val="none" w:sz="0" w:space="0" w:color="auto"/>
        <w:right w:val="none" w:sz="0" w:space="0" w:color="auto"/>
      </w:divBdr>
    </w:div>
    <w:div w:id="362943811">
      <w:bodyDiv w:val="1"/>
      <w:marLeft w:val="0"/>
      <w:marRight w:val="0"/>
      <w:marTop w:val="0"/>
      <w:marBottom w:val="0"/>
      <w:divBdr>
        <w:top w:val="none" w:sz="0" w:space="0" w:color="auto"/>
        <w:left w:val="none" w:sz="0" w:space="0" w:color="auto"/>
        <w:bottom w:val="none" w:sz="0" w:space="0" w:color="auto"/>
        <w:right w:val="none" w:sz="0" w:space="0" w:color="auto"/>
      </w:divBdr>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89860">
      <w:bodyDiv w:val="1"/>
      <w:marLeft w:val="0"/>
      <w:marRight w:val="0"/>
      <w:marTop w:val="0"/>
      <w:marBottom w:val="0"/>
      <w:divBdr>
        <w:top w:val="none" w:sz="0" w:space="0" w:color="auto"/>
        <w:left w:val="none" w:sz="0" w:space="0" w:color="auto"/>
        <w:bottom w:val="none" w:sz="0" w:space="0" w:color="auto"/>
        <w:right w:val="none" w:sz="0" w:space="0" w:color="auto"/>
      </w:divBdr>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9944">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98363">
      <w:bodyDiv w:val="1"/>
      <w:marLeft w:val="0"/>
      <w:marRight w:val="0"/>
      <w:marTop w:val="0"/>
      <w:marBottom w:val="0"/>
      <w:divBdr>
        <w:top w:val="none" w:sz="0" w:space="0" w:color="auto"/>
        <w:left w:val="none" w:sz="0" w:space="0" w:color="auto"/>
        <w:bottom w:val="none" w:sz="0" w:space="0" w:color="auto"/>
        <w:right w:val="none" w:sz="0" w:space="0" w:color="auto"/>
      </w:divBdr>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ancetvinfo.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hallenge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connaissancedesarts.com/wp-content/thumbnails/uploads/2017/12/article-classique-69-1-tt-width-653-height-368-fill-0-crop-0-bgcolor-eeeeee.jpg" TargetMode="External"/><Relationship Id="rId5" Type="http://schemas.openxmlformats.org/officeDocument/2006/relationships/webSettings" Target="webSettings.xml"/><Relationship Id="rId15" Type="http://schemas.openxmlformats.org/officeDocument/2006/relationships/hyperlink" Target="https://www.lobservatoirecreditlogement.fr/derniere-publication"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monde.fr" TargetMode="External"/><Relationship Id="rId14" Type="http://schemas.openxmlformats.org/officeDocument/2006/relationships/hyperlink" Target="https://www.insee.fr/fr/statistiques/335609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F0F7-34D8-46ED-9A20-DB730D33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5705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6729</CharactersWithSpaces>
  <SharedDoc>false</SharedDoc>
  <HLinks>
    <vt:vector size="36" baseType="variant">
      <vt:variant>
        <vt:i4>1179715</vt:i4>
      </vt:variant>
      <vt:variant>
        <vt:i4>12</vt:i4>
      </vt:variant>
      <vt:variant>
        <vt:i4>0</vt:i4>
      </vt:variant>
      <vt:variant>
        <vt:i4>5</vt:i4>
      </vt:variant>
      <vt:variant>
        <vt:lpwstr>http://www.challenges.fr/</vt:lpwstr>
      </vt:variant>
      <vt:variant>
        <vt:lpwstr/>
      </vt:variant>
      <vt:variant>
        <vt:i4>2097261</vt:i4>
      </vt:variant>
      <vt:variant>
        <vt:i4>9</vt:i4>
      </vt:variant>
      <vt:variant>
        <vt:i4>0</vt:i4>
      </vt:variant>
      <vt:variant>
        <vt:i4>5</vt:i4>
      </vt:variant>
      <vt:variant>
        <vt:lpwstr>https://www.lobservatoirecreditlogement.fr/derniere-publication</vt:lpwstr>
      </vt:variant>
      <vt:variant>
        <vt:lpwstr/>
      </vt:variant>
      <vt:variant>
        <vt:i4>4718604</vt:i4>
      </vt:variant>
      <vt:variant>
        <vt:i4>6</vt:i4>
      </vt:variant>
      <vt:variant>
        <vt:i4>0</vt:i4>
      </vt:variant>
      <vt:variant>
        <vt:i4>5</vt:i4>
      </vt:variant>
      <vt:variant>
        <vt:lpwstr>https://www.insee.fr/fr/statistiques/3356094</vt:lpwstr>
      </vt:variant>
      <vt:variant>
        <vt:lpwstr/>
      </vt:variant>
      <vt:variant>
        <vt:i4>6815800</vt:i4>
      </vt:variant>
      <vt:variant>
        <vt:i4>3</vt:i4>
      </vt:variant>
      <vt:variant>
        <vt:i4>0</vt:i4>
      </vt:variant>
      <vt:variant>
        <vt:i4>5</vt:i4>
      </vt:variant>
      <vt:variant>
        <vt:lpwstr>http://www.francetvinfo.fr/</vt:lpwstr>
      </vt:variant>
      <vt:variant>
        <vt:lpwstr/>
      </vt:variant>
      <vt:variant>
        <vt:i4>6815842</vt:i4>
      </vt:variant>
      <vt:variant>
        <vt:i4>0</vt:i4>
      </vt:variant>
      <vt:variant>
        <vt:i4>0</vt:i4>
      </vt:variant>
      <vt:variant>
        <vt:i4>5</vt:i4>
      </vt:variant>
      <vt:variant>
        <vt:lpwstr>http://www.lemonde.fr/</vt:lpwstr>
      </vt:variant>
      <vt:variant>
        <vt:lpwstr/>
      </vt:variant>
      <vt:variant>
        <vt:i4>4849736</vt:i4>
      </vt:variant>
      <vt:variant>
        <vt:i4>-1</vt:i4>
      </vt:variant>
      <vt:variant>
        <vt:i4>1039</vt:i4>
      </vt:variant>
      <vt:variant>
        <vt:i4>1</vt:i4>
      </vt:variant>
      <vt:variant>
        <vt:lpwstr>https://www.connaissancedesarts.com/wp-content/thumbnails/uploads/2017/12/article-classique-69-1-tt-width-653-height-368-fill-0-crop-0-bgcolor-eeeeee.jpg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2019-07-02T06:11:00Z</cp:lastPrinted>
  <dcterms:created xsi:type="dcterms:W3CDTF">2019-07-02T06:18:00Z</dcterms:created>
  <dcterms:modified xsi:type="dcterms:W3CDTF">2019-07-02T06:18:00Z</dcterms:modified>
</cp:coreProperties>
</file>