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92227D" w:rsidRPr="00287998" w:rsidTr="00AE1028">
        <w:tc>
          <w:tcPr>
            <w:tcW w:w="10606" w:type="dxa"/>
          </w:tcPr>
          <w:p w:rsidR="0092227D" w:rsidRPr="007E5768" w:rsidRDefault="0092227D" w:rsidP="00AE1028">
            <w:pPr>
              <w:pStyle w:val="Sansinterligne"/>
              <w:jc w:val="center"/>
              <w:rPr>
                <w:sz w:val="50"/>
                <w:szCs w:val="50"/>
              </w:rPr>
            </w:pPr>
            <w:r>
              <w:rPr>
                <w:sz w:val="50"/>
                <w:szCs w:val="50"/>
              </w:rPr>
              <w:t>Qu’est-ce que la monnaie et comment est-elle créée ?</w:t>
            </w:r>
          </w:p>
          <w:p w:rsidR="0092227D" w:rsidRPr="007E5768" w:rsidRDefault="0092227D" w:rsidP="00AE1028">
            <w:pPr>
              <w:pStyle w:val="Sansinterligne"/>
              <w:jc w:val="center"/>
              <w:rPr>
                <w:sz w:val="50"/>
                <w:szCs w:val="50"/>
              </w:rPr>
            </w:pPr>
            <w:r w:rsidRPr="007E5768">
              <w:rPr>
                <w:sz w:val="50"/>
                <w:szCs w:val="50"/>
              </w:rPr>
              <w:t>--</w:t>
            </w:r>
          </w:p>
          <w:p w:rsidR="0092227D" w:rsidRDefault="0092227D" w:rsidP="00AE1028">
            <w:pPr>
              <w:pStyle w:val="Sansinterligne"/>
              <w:jc w:val="center"/>
              <w:rPr>
                <w:sz w:val="50"/>
                <w:szCs w:val="50"/>
              </w:rPr>
            </w:pPr>
            <w:r>
              <w:rPr>
                <w:sz w:val="50"/>
                <w:szCs w:val="50"/>
              </w:rPr>
              <w:t>Les effets de la poltique monétaire menée par la banque  centrale</w:t>
            </w:r>
            <w:r w:rsidRPr="007E5768">
              <w:rPr>
                <w:sz w:val="50"/>
                <w:szCs w:val="50"/>
              </w:rPr>
              <w:t xml:space="preserve"> (</w:t>
            </w:r>
            <w:r>
              <w:rPr>
                <w:sz w:val="50"/>
                <w:szCs w:val="50"/>
              </w:rPr>
              <w:t>5</w:t>
            </w:r>
            <w:r w:rsidRPr="007E5768">
              <w:rPr>
                <w:sz w:val="50"/>
                <w:szCs w:val="50"/>
              </w:rPr>
              <w:t>/</w:t>
            </w:r>
            <w:r>
              <w:rPr>
                <w:sz w:val="50"/>
                <w:szCs w:val="50"/>
              </w:rPr>
              <w:t>5</w:t>
            </w:r>
            <w:r w:rsidRPr="007E5768">
              <w:rPr>
                <w:sz w:val="50"/>
                <w:szCs w:val="50"/>
              </w:rPr>
              <w:t>)</w:t>
            </w:r>
          </w:p>
          <w:p w:rsidR="0092227D" w:rsidRDefault="0092227D" w:rsidP="00AE1028">
            <w:pPr>
              <w:pStyle w:val="Sansinterligne"/>
              <w:jc w:val="center"/>
              <w:rPr>
                <w:sz w:val="50"/>
                <w:szCs w:val="50"/>
              </w:rPr>
            </w:pPr>
            <w:r>
              <w:rPr>
                <w:sz w:val="50"/>
                <w:szCs w:val="50"/>
              </w:rPr>
              <w:t>--</w:t>
            </w:r>
          </w:p>
          <w:p w:rsidR="0092227D" w:rsidRPr="00287998" w:rsidRDefault="0092227D" w:rsidP="00AE1028">
            <w:pPr>
              <w:pStyle w:val="Sansinterligne"/>
              <w:jc w:val="center"/>
            </w:pPr>
            <w:r>
              <w:rPr>
                <w:sz w:val="50"/>
                <w:szCs w:val="50"/>
              </w:rPr>
              <w:t>F</w:t>
            </w:r>
            <w:bookmarkStart w:id="0" w:name="_GoBack"/>
            <w:bookmarkEnd w:id="0"/>
            <w:r>
              <w:rPr>
                <w:sz w:val="50"/>
                <w:szCs w:val="50"/>
              </w:rPr>
              <w:t>ichier d’activités</w:t>
            </w:r>
          </w:p>
        </w:tc>
      </w:tr>
    </w:tbl>
    <w:p w:rsidR="0092227D" w:rsidRPr="001B6B65" w:rsidRDefault="0092227D" w:rsidP="0092227D">
      <w:pPr>
        <w:pBdr>
          <w:bottom w:val="single" w:sz="4" w:space="1" w:color="auto"/>
        </w:pBdr>
        <w:jc w:val="center"/>
        <w:rPr>
          <w:rFonts w:ascii="Calibri Light" w:hAnsi="Calibri Light"/>
          <w:b/>
          <w:color w:val="000000" w:themeColor="text1"/>
          <w:sz w:val="28"/>
          <w:szCs w:val="28"/>
        </w:rPr>
      </w:pPr>
    </w:p>
    <w:p w:rsidR="0092227D" w:rsidRPr="00506EBE" w:rsidRDefault="0092227D" w:rsidP="0092227D">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Pr>
          <w:rFonts w:ascii="Calibri Light" w:hAnsi="Calibri Light"/>
          <w:b/>
          <w:color w:val="000000" w:themeColor="text1"/>
          <w:sz w:val="32"/>
          <w:szCs w:val="32"/>
        </w:rPr>
        <w:t>1h</w:t>
      </w:r>
      <w:r w:rsidRPr="00506EBE">
        <w:rPr>
          <w:rFonts w:ascii="Calibri Light" w:hAnsi="Calibri Light"/>
          <w:b/>
          <w:color w:val="000000" w:themeColor="text1"/>
          <w:sz w:val="32"/>
          <w:szCs w:val="32"/>
        </w:rPr>
        <w:t>)</w:t>
      </w:r>
    </w:p>
    <w:p w:rsidR="0092227D" w:rsidRPr="00942073" w:rsidRDefault="0092227D" w:rsidP="0092227D">
      <w:pPr>
        <w:pStyle w:val="Sansinterligne"/>
      </w:pPr>
      <w:r w:rsidRPr="00942073">
        <w:t>Document</w:t>
      </w:r>
      <w:r>
        <w:t xml:space="preserve"> 1 –</w:t>
      </w:r>
      <w:r w:rsidRPr="00942073">
        <w:t xml:space="preserve"> </w:t>
      </w:r>
      <w:r>
        <w:t>Les objectifs de la politique monétaire</w:t>
      </w:r>
    </w:p>
    <w:p w:rsidR="0092227D" w:rsidRPr="001B6B65" w:rsidRDefault="0092227D" w:rsidP="0092227D">
      <w:pPr>
        <w:pStyle w:val="Sansinterligne"/>
      </w:pPr>
    </w:p>
    <w:p w:rsidR="0092227D" w:rsidRPr="0092227D" w:rsidRDefault="0092227D" w:rsidP="0092227D">
      <w:pPr>
        <w:spacing w:after="0" w:line="240" w:lineRule="auto"/>
        <w:rPr>
          <w:b/>
          <w:sz w:val="18"/>
          <w:szCs w:val="18"/>
        </w:rPr>
      </w:pPr>
      <w:r w:rsidRPr="0092227D">
        <w:rPr>
          <w:b/>
          <w:sz w:val="18"/>
          <w:szCs w:val="18"/>
        </w:rPr>
        <w:t>Pour la BCE</w:t>
      </w:r>
    </w:p>
    <w:p w:rsidR="0092227D" w:rsidRPr="0092227D" w:rsidRDefault="0092227D" w:rsidP="0092227D">
      <w:pPr>
        <w:spacing w:after="0" w:line="240" w:lineRule="auto"/>
        <w:rPr>
          <w:sz w:val="18"/>
          <w:szCs w:val="18"/>
        </w:rPr>
      </w:pPr>
      <w:r w:rsidRPr="0092227D">
        <w:rPr>
          <w:sz w:val="18"/>
          <w:szCs w:val="18"/>
        </w:rPr>
        <w:t>L’article 127, paragraphe 1, du traité définit l’objectif principal de l’</w:t>
      </w:r>
      <w:proofErr w:type="spellStart"/>
      <w:r w:rsidRPr="0092227D">
        <w:rPr>
          <w:sz w:val="18"/>
          <w:szCs w:val="18"/>
        </w:rPr>
        <w:t>Eurosystème</w:t>
      </w:r>
      <w:proofErr w:type="spellEnd"/>
      <w:r w:rsidRPr="0092227D">
        <w:rPr>
          <w:sz w:val="18"/>
          <w:szCs w:val="18"/>
        </w:rPr>
        <w:t xml:space="preserve"> : </w:t>
      </w:r>
    </w:p>
    <w:p w:rsidR="0092227D" w:rsidRPr="0092227D" w:rsidRDefault="0092227D" w:rsidP="0092227D">
      <w:pPr>
        <w:spacing w:after="0" w:line="240" w:lineRule="auto"/>
        <w:rPr>
          <w:sz w:val="18"/>
          <w:szCs w:val="18"/>
        </w:rPr>
      </w:pPr>
      <w:r w:rsidRPr="0092227D">
        <w:rPr>
          <w:sz w:val="18"/>
          <w:szCs w:val="18"/>
        </w:rPr>
        <w:t>« L’objectif principal du Système européen de banques centrales [...] est de maintenir la stabilité des prix »</w:t>
      </w:r>
      <w:proofErr w:type="gramStart"/>
      <w:r w:rsidRPr="0092227D">
        <w:rPr>
          <w:sz w:val="18"/>
          <w:szCs w:val="18"/>
        </w:rPr>
        <w:t>.[</w:t>
      </w:r>
      <w:proofErr w:type="gramEnd"/>
      <w:r w:rsidRPr="0092227D">
        <w:rPr>
          <w:sz w:val="18"/>
          <w:szCs w:val="18"/>
        </w:rPr>
        <w:t>…]</w:t>
      </w:r>
    </w:p>
    <w:p w:rsidR="0092227D" w:rsidRPr="0092227D" w:rsidRDefault="0092227D" w:rsidP="0092227D">
      <w:pPr>
        <w:spacing w:after="0" w:line="240" w:lineRule="auto"/>
        <w:rPr>
          <w:sz w:val="18"/>
          <w:szCs w:val="18"/>
        </w:rPr>
      </w:pPr>
      <w:r w:rsidRPr="0092227D">
        <w:rPr>
          <w:sz w:val="18"/>
          <w:szCs w:val="18"/>
        </w:rPr>
        <w:t>La stabilité des prix constitue non seulement l’objectif principal de la politique monétaire conduite par la BCE mais aussi un objectif de l’Union européenne dans son ensemble. Ainsi, le traité sur le fonctionnement de l’Union européenne et le traité sur l’Union européenne fixent une hiérarchie claire entre les objectifs de l’</w:t>
      </w:r>
      <w:proofErr w:type="spellStart"/>
      <w:r w:rsidRPr="0092227D">
        <w:rPr>
          <w:sz w:val="18"/>
          <w:szCs w:val="18"/>
        </w:rPr>
        <w:t>Eurosystème</w:t>
      </w:r>
      <w:proofErr w:type="spellEnd"/>
      <w:r w:rsidRPr="0092227D">
        <w:rPr>
          <w:sz w:val="18"/>
          <w:szCs w:val="18"/>
        </w:rPr>
        <w:t>, le maintien de la stabilité des prix constituant la contribution la plus importante que la politique monétaire puisse apporter à la réalisation d’un environnement économique favorable et d'un niveau d’emploi élevé.</w:t>
      </w:r>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jc w:val="right"/>
        <w:rPr>
          <w:b/>
          <w:i/>
          <w:sz w:val="18"/>
          <w:szCs w:val="18"/>
        </w:rPr>
      </w:pPr>
      <w:r w:rsidRPr="0092227D">
        <w:rPr>
          <w:b/>
          <w:i/>
          <w:sz w:val="18"/>
          <w:szCs w:val="18"/>
        </w:rPr>
        <w:t xml:space="preserve">BCE, </w:t>
      </w:r>
      <w:hyperlink r:id="rId7" w:history="1">
        <w:r w:rsidRPr="0092227D">
          <w:rPr>
            <w:rStyle w:val="Lienhypertexte"/>
            <w:b/>
            <w:i/>
            <w:sz w:val="18"/>
            <w:szCs w:val="18"/>
          </w:rPr>
          <w:t>les missions</w:t>
        </w:r>
      </w:hyperlink>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rPr>
          <w:b/>
          <w:sz w:val="18"/>
          <w:szCs w:val="18"/>
        </w:rPr>
      </w:pPr>
      <w:r w:rsidRPr="0092227D">
        <w:rPr>
          <w:b/>
          <w:sz w:val="18"/>
          <w:szCs w:val="18"/>
        </w:rPr>
        <w:t xml:space="preserve">Pour la FED </w:t>
      </w:r>
      <w:proofErr w:type="gramStart"/>
      <w:r w:rsidRPr="0092227D">
        <w:rPr>
          <w:b/>
          <w:sz w:val="18"/>
          <w:szCs w:val="18"/>
        </w:rPr>
        <w:t>( États</w:t>
      </w:r>
      <w:proofErr w:type="gramEnd"/>
      <w:r w:rsidRPr="0092227D">
        <w:rPr>
          <w:b/>
          <w:sz w:val="18"/>
          <w:szCs w:val="18"/>
        </w:rPr>
        <w:t>-Unis)</w:t>
      </w:r>
    </w:p>
    <w:p w:rsidR="0092227D" w:rsidRPr="0092227D" w:rsidRDefault="0092227D" w:rsidP="0092227D">
      <w:pPr>
        <w:spacing w:after="0" w:line="240" w:lineRule="auto"/>
        <w:rPr>
          <w:sz w:val="18"/>
          <w:szCs w:val="18"/>
        </w:rPr>
      </w:pPr>
      <w:r w:rsidRPr="0092227D">
        <w:rPr>
          <w:sz w:val="18"/>
          <w:szCs w:val="18"/>
        </w:rPr>
        <w:t>Le « </w:t>
      </w:r>
      <w:proofErr w:type="spellStart"/>
      <w:r w:rsidRPr="0092227D">
        <w:rPr>
          <w:sz w:val="18"/>
          <w:szCs w:val="18"/>
        </w:rPr>
        <w:t>Federal</w:t>
      </w:r>
      <w:proofErr w:type="spellEnd"/>
      <w:r w:rsidRPr="0092227D">
        <w:rPr>
          <w:sz w:val="18"/>
          <w:szCs w:val="18"/>
        </w:rPr>
        <w:t xml:space="preserve"> Reserve </w:t>
      </w:r>
      <w:proofErr w:type="spellStart"/>
      <w:r w:rsidRPr="0092227D">
        <w:rPr>
          <w:sz w:val="18"/>
          <w:szCs w:val="18"/>
        </w:rPr>
        <w:t>Act</w:t>
      </w:r>
      <w:proofErr w:type="spellEnd"/>
      <w:r w:rsidRPr="0092227D">
        <w:rPr>
          <w:sz w:val="18"/>
          <w:szCs w:val="18"/>
        </w:rPr>
        <w:t> » confie à la FED la mission de maintenir en moyenne une croissance des agrégats monétaires et de la quantité de crédit compatible avec le potentiel de croissance de la production, de manière à tendre vers les objectifs suivants :</w:t>
      </w:r>
    </w:p>
    <w:p w:rsidR="0092227D" w:rsidRPr="0092227D" w:rsidRDefault="0092227D" w:rsidP="0092227D">
      <w:pPr>
        <w:pStyle w:val="Paragraphedeliste"/>
        <w:widowControl w:val="0"/>
        <w:numPr>
          <w:ilvl w:val="0"/>
          <w:numId w:val="7"/>
        </w:numPr>
        <w:autoSpaceDE w:val="0"/>
        <w:autoSpaceDN w:val="0"/>
        <w:adjustRightInd w:val="0"/>
        <w:spacing w:after="0" w:line="240" w:lineRule="auto"/>
        <w:rPr>
          <w:rFonts w:ascii="Calibri" w:hAnsi="Calibri" w:cs="Calibri"/>
          <w:sz w:val="18"/>
          <w:szCs w:val="18"/>
        </w:rPr>
      </w:pPr>
      <w:r w:rsidRPr="0092227D">
        <w:rPr>
          <w:rFonts w:ascii="Calibri" w:hAnsi="Calibri" w:cs="Calibri"/>
          <w:sz w:val="18"/>
          <w:szCs w:val="18"/>
        </w:rPr>
        <w:t>un taux d’emploi maximum,</w:t>
      </w:r>
    </w:p>
    <w:p w:rsidR="0092227D" w:rsidRPr="0092227D" w:rsidRDefault="0092227D" w:rsidP="0092227D">
      <w:pPr>
        <w:pStyle w:val="Paragraphedeliste"/>
        <w:widowControl w:val="0"/>
        <w:numPr>
          <w:ilvl w:val="0"/>
          <w:numId w:val="7"/>
        </w:numPr>
        <w:autoSpaceDE w:val="0"/>
        <w:autoSpaceDN w:val="0"/>
        <w:adjustRightInd w:val="0"/>
        <w:spacing w:after="0" w:line="240" w:lineRule="auto"/>
        <w:rPr>
          <w:rFonts w:ascii="Calibri" w:hAnsi="Calibri" w:cs="Calibri"/>
          <w:sz w:val="18"/>
          <w:szCs w:val="18"/>
        </w:rPr>
      </w:pPr>
      <w:r w:rsidRPr="0092227D">
        <w:rPr>
          <w:rFonts w:ascii="Calibri" w:hAnsi="Calibri" w:cs="Calibri"/>
          <w:sz w:val="18"/>
          <w:szCs w:val="18"/>
        </w:rPr>
        <w:t>des prix stables,</w:t>
      </w:r>
    </w:p>
    <w:p w:rsidR="0092227D" w:rsidRPr="0092227D" w:rsidRDefault="0092227D" w:rsidP="0092227D">
      <w:pPr>
        <w:pStyle w:val="Paragraphedeliste"/>
        <w:widowControl w:val="0"/>
        <w:numPr>
          <w:ilvl w:val="0"/>
          <w:numId w:val="7"/>
        </w:numPr>
        <w:autoSpaceDE w:val="0"/>
        <w:autoSpaceDN w:val="0"/>
        <w:adjustRightInd w:val="0"/>
        <w:spacing w:after="0" w:line="240" w:lineRule="auto"/>
        <w:rPr>
          <w:rFonts w:ascii="Calibri" w:hAnsi="Calibri" w:cs="Calibri"/>
          <w:sz w:val="18"/>
          <w:szCs w:val="18"/>
        </w:rPr>
      </w:pPr>
      <w:r w:rsidRPr="0092227D">
        <w:rPr>
          <w:rFonts w:ascii="Calibri" w:hAnsi="Calibri" w:cs="Calibri"/>
          <w:sz w:val="18"/>
          <w:szCs w:val="18"/>
        </w:rPr>
        <w:t>et des taux d’intérêt à long terme peu élevés</w:t>
      </w:r>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jc w:val="right"/>
        <w:rPr>
          <w:b/>
          <w:i/>
          <w:sz w:val="18"/>
          <w:szCs w:val="18"/>
        </w:rPr>
      </w:pPr>
      <w:r w:rsidRPr="0092227D">
        <w:rPr>
          <w:b/>
          <w:i/>
          <w:sz w:val="18"/>
          <w:szCs w:val="18"/>
        </w:rPr>
        <w:t xml:space="preserve">La finance pour tous, </w:t>
      </w:r>
      <w:hyperlink r:id="rId8" w:history="1">
        <w:proofErr w:type="spellStart"/>
        <w:r w:rsidRPr="0092227D">
          <w:rPr>
            <w:rStyle w:val="Lienhypertexte"/>
            <w:b/>
            <w:i/>
            <w:sz w:val="18"/>
            <w:szCs w:val="18"/>
          </w:rPr>
          <w:t>Federal</w:t>
        </w:r>
        <w:proofErr w:type="spellEnd"/>
        <w:r w:rsidRPr="0092227D">
          <w:rPr>
            <w:rStyle w:val="Lienhypertexte"/>
            <w:b/>
            <w:i/>
            <w:sz w:val="18"/>
            <w:szCs w:val="18"/>
          </w:rPr>
          <w:t xml:space="preserve"> Reserve System (FED)</w:t>
        </w:r>
      </w:hyperlink>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rPr>
          <w:b/>
          <w:sz w:val="18"/>
          <w:szCs w:val="18"/>
        </w:rPr>
      </w:pPr>
      <w:r w:rsidRPr="0092227D">
        <w:rPr>
          <w:b/>
          <w:sz w:val="18"/>
          <w:szCs w:val="18"/>
        </w:rPr>
        <w:t>Pour la Banque du Japon</w:t>
      </w:r>
    </w:p>
    <w:p w:rsidR="0092227D" w:rsidRPr="0092227D" w:rsidRDefault="0092227D" w:rsidP="0092227D">
      <w:pPr>
        <w:spacing w:after="0" w:line="240" w:lineRule="auto"/>
        <w:rPr>
          <w:sz w:val="18"/>
          <w:szCs w:val="18"/>
        </w:rPr>
      </w:pPr>
      <w:r w:rsidRPr="0092227D">
        <w:rPr>
          <w:sz w:val="18"/>
          <w:szCs w:val="18"/>
        </w:rPr>
        <w:t xml:space="preserve">Comme toutes les grandes banques centrales, la Banque du Japon est chargée de la mise en </w:t>
      </w:r>
      <w:proofErr w:type="spellStart"/>
      <w:r w:rsidRPr="0092227D">
        <w:rPr>
          <w:sz w:val="18"/>
          <w:szCs w:val="18"/>
        </w:rPr>
        <w:t>oeuvre</w:t>
      </w:r>
      <w:proofErr w:type="spellEnd"/>
      <w:r w:rsidRPr="0092227D">
        <w:rPr>
          <w:sz w:val="18"/>
          <w:szCs w:val="18"/>
        </w:rPr>
        <w:t xml:space="preserve"> de la politique monétaire du pays, mais aussi d'assurer la stabilité du système financier et de conduire la politique du taux de change (cette dernière responsabilité n'étant pas, par comparaison, dans les attributions de la Fed la Banque centrale américaine). […]</w:t>
      </w:r>
    </w:p>
    <w:p w:rsidR="0092227D" w:rsidRPr="0092227D" w:rsidRDefault="0092227D" w:rsidP="0092227D">
      <w:pPr>
        <w:spacing w:after="0" w:line="240" w:lineRule="auto"/>
        <w:rPr>
          <w:sz w:val="18"/>
          <w:szCs w:val="18"/>
        </w:rPr>
      </w:pPr>
      <w:r w:rsidRPr="0092227D">
        <w:rPr>
          <w:sz w:val="18"/>
          <w:szCs w:val="18"/>
        </w:rPr>
        <w:t>Au cours des trente dernière années, la politique économique du Japon et de sa Banque centrale a été orientée vers une sous-évaluation du yen par rapport au dollar et aux autres grandes monnaies, dans l'objectif de maintenir un « avantage comparatif » favorisant les exportations du pays.</w:t>
      </w:r>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jc w:val="right"/>
        <w:rPr>
          <w:b/>
          <w:i/>
          <w:sz w:val="18"/>
          <w:szCs w:val="18"/>
        </w:rPr>
      </w:pPr>
      <w:r w:rsidRPr="0092227D">
        <w:rPr>
          <w:b/>
          <w:i/>
          <w:sz w:val="18"/>
          <w:szCs w:val="18"/>
        </w:rPr>
        <w:t xml:space="preserve">Mataf, </w:t>
      </w:r>
      <w:hyperlink r:id="rId9" w:history="1">
        <w:r w:rsidRPr="0092227D">
          <w:rPr>
            <w:rStyle w:val="Lienhypertexte"/>
            <w:b/>
            <w:i/>
            <w:sz w:val="18"/>
            <w:szCs w:val="18"/>
          </w:rPr>
          <w:t>Banque Centrale du Japon</w:t>
        </w:r>
      </w:hyperlink>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rPr>
          <w:b/>
          <w:sz w:val="18"/>
          <w:szCs w:val="18"/>
        </w:rPr>
      </w:pPr>
      <w:r w:rsidRPr="0092227D">
        <w:rPr>
          <w:b/>
          <w:sz w:val="18"/>
          <w:szCs w:val="18"/>
        </w:rPr>
        <w:t>Pour la Banque d’Angleterre</w:t>
      </w:r>
    </w:p>
    <w:p w:rsidR="0092227D" w:rsidRPr="0092227D" w:rsidRDefault="0092227D" w:rsidP="0092227D">
      <w:pPr>
        <w:spacing w:after="0" w:line="240" w:lineRule="auto"/>
        <w:rPr>
          <w:sz w:val="18"/>
          <w:szCs w:val="18"/>
        </w:rPr>
      </w:pPr>
      <w:r w:rsidRPr="0092227D">
        <w:rPr>
          <w:sz w:val="18"/>
          <w:szCs w:val="18"/>
        </w:rPr>
        <w:t>Dans le domaine de la politique monétaire, la mission officielle de la Banque d'Angleterre, à l'instar de celle de la BCE (Banque Centrale Européenne), est d'assurer et de maintenir une stabilité des prix, mais aussi de soutenir la politique économique du gouvernement britannique.</w:t>
      </w:r>
    </w:p>
    <w:p w:rsidR="0092227D" w:rsidRPr="0092227D" w:rsidRDefault="0092227D" w:rsidP="0092227D">
      <w:pPr>
        <w:spacing w:after="0" w:line="240" w:lineRule="auto"/>
        <w:rPr>
          <w:sz w:val="18"/>
          <w:szCs w:val="18"/>
        </w:rPr>
      </w:pPr>
    </w:p>
    <w:p w:rsidR="0092227D" w:rsidRPr="0092227D" w:rsidRDefault="0092227D" w:rsidP="0092227D">
      <w:pPr>
        <w:spacing w:after="0" w:line="240" w:lineRule="auto"/>
        <w:jc w:val="right"/>
        <w:rPr>
          <w:b/>
          <w:i/>
          <w:sz w:val="18"/>
          <w:szCs w:val="18"/>
        </w:rPr>
      </w:pPr>
      <w:r w:rsidRPr="0092227D">
        <w:rPr>
          <w:b/>
          <w:i/>
          <w:sz w:val="18"/>
          <w:szCs w:val="18"/>
        </w:rPr>
        <w:t xml:space="preserve">Mataf, </w:t>
      </w:r>
      <w:hyperlink r:id="rId10" w:history="1">
        <w:r w:rsidRPr="0092227D">
          <w:rPr>
            <w:rStyle w:val="Lienhypertexte"/>
            <w:b/>
            <w:i/>
            <w:sz w:val="18"/>
            <w:szCs w:val="18"/>
          </w:rPr>
          <w:t>Banque d'Angleterre</w:t>
        </w:r>
      </w:hyperlink>
    </w:p>
    <w:p w:rsidR="0092227D" w:rsidRPr="0092227D" w:rsidRDefault="0092227D" w:rsidP="0092227D">
      <w:pPr>
        <w:spacing w:after="0" w:line="240" w:lineRule="auto"/>
        <w:jc w:val="right"/>
        <w:rPr>
          <w:b/>
          <w:sz w:val="18"/>
          <w:szCs w:val="18"/>
        </w:rPr>
      </w:pPr>
    </w:p>
    <w:p w:rsidR="0092227D" w:rsidRDefault="0092227D" w:rsidP="0092227D">
      <w:pPr>
        <w:pStyle w:val="Paragraphedeliste"/>
        <w:widowControl w:val="0"/>
        <w:numPr>
          <w:ilvl w:val="0"/>
          <w:numId w:val="1"/>
        </w:numPr>
        <w:autoSpaceDE w:val="0"/>
        <w:autoSpaceDN w:val="0"/>
        <w:adjustRightInd w:val="0"/>
        <w:spacing w:after="0" w:line="240" w:lineRule="auto"/>
      </w:pPr>
      <w:r>
        <w:t>Y a-t-il un point commun à toutes les banques centrales quant à leurs objectifs de politique monétaire ?</w:t>
      </w:r>
    </w:p>
    <w:p w:rsidR="0092227D" w:rsidRPr="0092227D" w:rsidRDefault="0092227D" w:rsidP="0092227D">
      <w:pPr>
        <w:pStyle w:val="Paragraphedeliste"/>
        <w:widowControl w:val="0"/>
        <w:numPr>
          <w:ilvl w:val="0"/>
          <w:numId w:val="1"/>
        </w:numPr>
        <w:autoSpaceDE w:val="0"/>
        <w:autoSpaceDN w:val="0"/>
        <w:adjustRightInd w:val="0"/>
        <w:spacing w:after="0" w:line="240" w:lineRule="auto"/>
        <w:jc w:val="left"/>
        <w:rPr>
          <w:rFonts w:ascii="Calibri Light" w:hAnsi="Calibri Light"/>
          <w:b/>
          <w:noProof/>
          <w:color w:val="000000" w:themeColor="text1"/>
          <w:sz w:val="24"/>
          <w:szCs w:val="24"/>
          <w:lang w:eastAsia="fr-FR"/>
        </w:rPr>
      </w:pPr>
      <w:r>
        <w:t>Quelles différences pouvez-vous relever entre les objectifs assignés aux banques centrales évoquées dans le document ?</w:t>
      </w:r>
      <w:r>
        <w:br w:type="page"/>
      </w:r>
    </w:p>
    <w:p w:rsidR="0092227D" w:rsidRPr="00942073" w:rsidRDefault="0092227D" w:rsidP="0092227D">
      <w:pPr>
        <w:pStyle w:val="Sansinterligne"/>
      </w:pPr>
      <w:r w:rsidRPr="00942073">
        <w:lastRenderedPageBreak/>
        <w:t>Document</w:t>
      </w:r>
      <w:r>
        <w:t xml:space="preserve"> 2 –</w:t>
      </w:r>
      <w:r w:rsidRPr="00942073">
        <w:t xml:space="preserve"> </w:t>
      </w:r>
      <w:r w:rsidR="00C271A3">
        <w:t>La politique monétaire de la BCE</w:t>
      </w:r>
    </w:p>
    <w:p w:rsidR="0092227D" w:rsidRDefault="0092227D" w:rsidP="0092227D">
      <w:pPr>
        <w:pStyle w:val="Sansinterligne"/>
      </w:pPr>
    </w:p>
    <w:p w:rsidR="00C271A3" w:rsidRPr="000C7C54" w:rsidRDefault="00C271A3" w:rsidP="00C271A3">
      <w:r w:rsidRPr="000C7C54">
        <w:t>Pour la première fois depuis juillet 2008, la Banque centrale européenne a procédé à une hausse de son principal taux directeur d’un quart de point.</w:t>
      </w:r>
    </w:p>
    <w:p w:rsidR="00C271A3" w:rsidRPr="000C7C54" w:rsidRDefault="00C271A3" w:rsidP="00C271A3">
      <w:r w:rsidRPr="000C7C54">
        <w:t>La Banque centrale européenne (BCE) a annoncé, jeudi 7 avril, une hausse de 0,25 points de son principal taux directeur. Il s’établit à présent à 1,25%.</w:t>
      </w:r>
    </w:p>
    <w:p w:rsidR="00C271A3" w:rsidRPr="000C7C54" w:rsidRDefault="00C271A3" w:rsidP="00C271A3">
      <w:r w:rsidRPr="000C7C54">
        <w:t>Ces dernières semaines, les dirigeants de la BCE avaient laissé entendre qu’une hausse des taux était imminente dans un contexte de résurgence des tensions inflationnistes au sein de la zone euro.</w:t>
      </w:r>
    </w:p>
    <w:p w:rsidR="00C271A3" w:rsidRPr="000C7C54" w:rsidRDefault="00C271A3" w:rsidP="00C271A3">
      <w:r w:rsidRPr="000C7C54">
        <w:t xml:space="preserve">« D’une, ce n’est pas une surprise. De deux, </w:t>
      </w:r>
      <w:r w:rsidRPr="00D5457C">
        <w:rPr>
          <w:u w:val="single"/>
        </w:rPr>
        <w:t>l’économie de la zone euro est suffisamment robuste pour l’absorber</w:t>
      </w:r>
      <w:r w:rsidRPr="000C7C54">
        <w:t>. Et de trois, ce sera un petit problème pour les pays périphériques de la zone euro, mais tant que l’</w:t>
      </w:r>
      <w:proofErr w:type="spellStart"/>
      <w:r w:rsidRPr="000C7C54">
        <w:t>Eurosystème</w:t>
      </w:r>
      <w:proofErr w:type="spellEnd"/>
      <w:r w:rsidRPr="000C7C54">
        <w:t xml:space="preserve"> continue d’apporter une assistance généreuse aux banques en difficulté de ces pays, ils pourront supporter [cette hausse des taux] », a estimé Holger </w:t>
      </w:r>
      <w:proofErr w:type="spellStart"/>
      <w:r w:rsidRPr="000C7C54">
        <w:t>Schmieding</w:t>
      </w:r>
      <w:proofErr w:type="spellEnd"/>
      <w:r w:rsidRPr="000C7C54">
        <w:t xml:space="preserve">, économiste de la </w:t>
      </w:r>
      <w:proofErr w:type="spellStart"/>
      <w:r w:rsidRPr="000C7C54">
        <w:t>Berenberg</w:t>
      </w:r>
      <w:proofErr w:type="spellEnd"/>
      <w:r w:rsidRPr="000C7C54">
        <w:t xml:space="preserve"> Bank, cité par Reuters.</w:t>
      </w:r>
    </w:p>
    <w:p w:rsidR="00C271A3" w:rsidRPr="000C7C54" w:rsidRDefault="00C271A3" w:rsidP="00C271A3">
      <w:r w:rsidRPr="000C7C54">
        <w:t>Bien que cela puisse aggraver la situation de pays qui ont eu recours à une aide, tels que la Grèce, l’Irlande ou bientôt le Portugal, la BCE a privilégié la lutte contre l’inflation.</w:t>
      </w:r>
    </w:p>
    <w:p w:rsidR="00C271A3" w:rsidRPr="000C7C54" w:rsidRDefault="00C271A3" w:rsidP="00C271A3">
      <w:r w:rsidRPr="000C7C54">
        <w:t>En effet, le mois dernier, le taux d’inflation de la zone euro est passé à 2,6%, en rythme annuel. Soit bien au-dessus de l’objectif de la BCE, qui se situe autour de 2%.</w:t>
      </w:r>
    </w:p>
    <w:p w:rsidR="00C271A3" w:rsidRPr="000C7C54" w:rsidRDefault="00C271A3" w:rsidP="00C271A3">
      <w:pPr>
        <w:jc w:val="right"/>
        <w:rPr>
          <w:b/>
        </w:rPr>
      </w:pPr>
      <w:r w:rsidRPr="000C7C54">
        <w:rPr>
          <w:b/>
        </w:rPr>
        <w:t xml:space="preserve">Anthony </w:t>
      </w:r>
      <w:proofErr w:type="spellStart"/>
      <w:r w:rsidRPr="000C7C54">
        <w:rPr>
          <w:b/>
        </w:rPr>
        <w:t>Favalli</w:t>
      </w:r>
      <w:proofErr w:type="spellEnd"/>
      <w:r w:rsidRPr="000C7C54">
        <w:rPr>
          <w:b/>
        </w:rPr>
        <w:t xml:space="preserve">, </w:t>
      </w:r>
      <w:hyperlink r:id="rId11" w:history="1">
        <w:r w:rsidRPr="00573AFB">
          <w:rPr>
            <w:rStyle w:val="Lienhypertexte"/>
            <w:b/>
            <w:i/>
          </w:rPr>
          <w:t>La BCE relève ses taux directeurs pour lutter contre l’inflation</w:t>
        </w:r>
      </w:hyperlink>
      <w:r w:rsidRPr="000C7C54">
        <w:rPr>
          <w:b/>
        </w:rPr>
        <w:t>, EURACTIV.fr, le 7 avril 2011</w:t>
      </w:r>
    </w:p>
    <w:p w:rsidR="00C271A3" w:rsidRPr="00D5457C" w:rsidRDefault="00C271A3" w:rsidP="00C271A3">
      <w:pPr>
        <w:jc w:val="center"/>
        <w:rPr>
          <w:b/>
        </w:rPr>
      </w:pPr>
      <w:r w:rsidRPr="00D5457C">
        <w:rPr>
          <w:b/>
        </w:rPr>
        <w:t>Principal taux directeur de la BCE et taux d’inflation dans la zone euro</w:t>
      </w:r>
    </w:p>
    <w:p w:rsidR="00C271A3" w:rsidRDefault="00C271A3" w:rsidP="00C271A3">
      <w:r w:rsidRPr="00573AFB">
        <w:rPr>
          <w:noProof/>
          <w:lang w:eastAsia="fr-FR"/>
        </w:rPr>
        <w:drawing>
          <wp:inline distT="0" distB="0" distL="0" distR="0">
            <wp:extent cx="5762548" cy="3312000"/>
            <wp:effectExtent l="19050" t="0" r="9602" b="2700"/>
            <wp:docPr id="1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71A3" w:rsidRPr="00C271A3" w:rsidRDefault="00C202CE" w:rsidP="00C271A3">
      <w:pPr>
        <w:spacing w:after="0" w:line="240" w:lineRule="auto"/>
        <w:jc w:val="right"/>
        <w:rPr>
          <w:b/>
          <w:i/>
          <w:szCs w:val="20"/>
        </w:rPr>
      </w:pPr>
      <w:hyperlink r:id="rId13" w:history="1">
        <w:r w:rsidR="00C271A3" w:rsidRPr="00C271A3">
          <w:rPr>
            <w:rStyle w:val="Lienhypertexte"/>
            <w:b/>
            <w:i/>
            <w:szCs w:val="20"/>
          </w:rPr>
          <w:t>Base de données de la Banque de France</w:t>
        </w:r>
      </w:hyperlink>
      <w:r w:rsidR="00C271A3" w:rsidRPr="00C271A3">
        <w:rPr>
          <w:b/>
          <w:i/>
          <w:szCs w:val="20"/>
        </w:rPr>
        <w:t>, Taux directeurs mensuels, données extraites le 20/05/2019.</w:t>
      </w:r>
    </w:p>
    <w:p w:rsidR="00C271A3" w:rsidRPr="00C271A3" w:rsidRDefault="00C202CE" w:rsidP="00C271A3">
      <w:pPr>
        <w:spacing w:after="0" w:line="240" w:lineRule="auto"/>
        <w:jc w:val="right"/>
        <w:rPr>
          <w:b/>
          <w:i/>
          <w:szCs w:val="20"/>
        </w:rPr>
      </w:pPr>
      <w:hyperlink r:id="rId14" w:history="1">
        <w:r w:rsidR="00C271A3" w:rsidRPr="00C271A3">
          <w:rPr>
            <w:rStyle w:val="Lienhypertexte"/>
            <w:b/>
            <w:i/>
            <w:szCs w:val="20"/>
          </w:rPr>
          <w:t>Base de données de l’OCDE</w:t>
        </w:r>
      </w:hyperlink>
      <w:r w:rsidR="00C271A3" w:rsidRPr="00C271A3">
        <w:rPr>
          <w:b/>
          <w:i/>
          <w:szCs w:val="20"/>
        </w:rPr>
        <w:t>, Indice des prix à la consommation, données extraites le 25/05/2019</w:t>
      </w:r>
    </w:p>
    <w:p w:rsidR="00C271A3" w:rsidRDefault="00C271A3" w:rsidP="00C271A3"/>
    <w:p w:rsidR="00C271A3" w:rsidRDefault="00C271A3" w:rsidP="00C271A3">
      <w:pPr>
        <w:pStyle w:val="Paragraphedeliste"/>
        <w:widowControl w:val="0"/>
        <w:numPr>
          <w:ilvl w:val="0"/>
          <w:numId w:val="2"/>
        </w:numPr>
        <w:autoSpaceDE w:val="0"/>
        <w:autoSpaceDN w:val="0"/>
        <w:adjustRightInd w:val="0"/>
        <w:spacing w:after="0" w:line="240" w:lineRule="auto"/>
      </w:pPr>
      <w:r>
        <w:t>Pourquoi la BCE décide-t-elle d’augmenter son taux directeur en avril 2011 ?</w:t>
      </w:r>
    </w:p>
    <w:p w:rsidR="00C271A3" w:rsidRDefault="00C271A3" w:rsidP="00C271A3">
      <w:pPr>
        <w:pStyle w:val="Paragraphedeliste"/>
        <w:widowControl w:val="0"/>
        <w:numPr>
          <w:ilvl w:val="0"/>
          <w:numId w:val="2"/>
        </w:numPr>
        <w:autoSpaceDE w:val="0"/>
        <w:autoSpaceDN w:val="0"/>
        <w:adjustRightInd w:val="0"/>
        <w:spacing w:after="0" w:line="240" w:lineRule="auto"/>
      </w:pPr>
      <w:r>
        <w:t>Expliquer la phrase soulignée.</w:t>
      </w:r>
    </w:p>
    <w:p w:rsidR="00C271A3" w:rsidRDefault="00C271A3" w:rsidP="00C271A3">
      <w:pPr>
        <w:pStyle w:val="Paragraphedeliste"/>
        <w:widowControl w:val="0"/>
        <w:numPr>
          <w:ilvl w:val="0"/>
          <w:numId w:val="2"/>
        </w:numPr>
        <w:autoSpaceDE w:val="0"/>
        <w:autoSpaceDN w:val="0"/>
        <w:adjustRightInd w:val="0"/>
        <w:spacing w:after="0" w:line="240" w:lineRule="auto"/>
      </w:pPr>
      <w:r>
        <w:t>La mesure prise en avril 2011 a-t-elle suffi ?</w:t>
      </w:r>
    </w:p>
    <w:p w:rsidR="00C271A3" w:rsidRDefault="00C271A3" w:rsidP="00C271A3">
      <w:pPr>
        <w:pStyle w:val="Paragraphedeliste"/>
        <w:numPr>
          <w:ilvl w:val="0"/>
          <w:numId w:val="2"/>
        </w:numPr>
        <w:jc w:val="left"/>
      </w:pPr>
      <w:r>
        <w:t>Pourquoi le taux directeur de la BCE s’est-il fortement réduit depuis la fin de l’année 2011 ?</w:t>
      </w:r>
    </w:p>
    <w:p w:rsidR="0092227D" w:rsidRDefault="0092227D" w:rsidP="0092227D">
      <w:pPr>
        <w:jc w:val="left"/>
        <w:rPr>
          <w:rFonts w:ascii="Calibri Light" w:hAnsi="Calibri Light"/>
          <w:b/>
          <w:noProof/>
          <w:color w:val="000000" w:themeColor="text1"/>
          <w:sz w:val="24"/>
          <w:szCs w:val="24"/>
          <w:lang w:eastAsia="fr-FR"/>
        </w:rPr>
      </w:pPr>
      <w:r>
        <w:br w:type="page"/>
      </w:r>
    </w:p>
    <w:p w:rsidR="0092227D" w:rsidRPr="00942073" w:rsidRDefault="0092227D" w:rsidP="0092227D">
      <w:pPr>
        <w:pStyle w:val="Sansinterligne"/>
      </w:pPr>
      <w:r w:rsidRPr="00942073">
        <w:lastRenderedPageBreak/>
        <w:t>Document</w:t>
      </w:r>
      <w:r>
        <w:t xml:space="preserve"> 3 –</w:t>
      </w:r>
      <w:r w:rsidRPr="00942073">
        <w:t xml:space="preserve"> </w:t>
      </w:r>
      <w:r w:rsidR="00C271A3">
        <w:t>Le casse-tête des banques centrales face au ralentissement de la croissance</w:t>
      </w:r>
    </w:p>
    <w:p w:rsidR="0092227D" w:rsidRDefault="0092227D" w:rsidP="0092227D">
      <w:pPr>
        <w:pStyle w:val="Sansinterligne"/>
      </w:pPr>
    </w:p>
    <w:p w:rsidR="00C271A3" w:rsidRPr="008F385D" w:rsidRDefault="00C271A3" w:rsidP="00C271A3">
      <w:pPr>
        <w:rPr>
          <w:szCs w:val="20"/>
        </w:rPr>
      </w:pPr>
      <w:r w:rsidRPr="008F385D">
        <w:rPr>
          <w:szCs w:val="20"/>
        </w:rPr>
        <w:t>Les banques centrales vont-elles renfiler leur costume de super-héros pour voler, une fois encore, au secours de la croissance ? Depuis que l’économie mondiale donne des signes de faiblesse, tous les regards se tournent à nouveau vers elles, comme au cœur de la crise de 2008, lorsqu’elles ont dégainé des armes monétaires inédites pour soutenir l’activité.</w:t>
      </w:r>
    </w:p>
    <w:p w:rsidR="00C271A3" w:rsidRPr="008F385D" w:rsidRDefault="00C271A3" w:rsidP="00C271A3">
      <w:pPr>
        <w:rPr>
          <w:szCs w:val="20"/>
        </w:rPr>
      </w:pPr>
      <w:r w:rsidRPr="008F385D">
        <w:rPr>
          <w:szCs w:val="20"/>
        </w:rPr>
        <w:t xml:space="preserve">Vendredi 15 mars, la Banque du Japon a reconnu que les exportations japonaises sont nettement pénalisées par le ralentissement mondial et a reconduit son programme massif de rachat de dettes, à hauteur de 80 000 milliards de yens par an (633 milliards d’euros). La Réserve fédérale, qui se réunit mardi 19 et mercredi 20 mars, avait ouvert le bal en janvier : face aux doutes planant sur l’économie mondiale – </w:t>
      </w:r>
      <w:proofErr w:type="spellStart"/>
      <w:r w:rsidRPr="008F385D">
        <w:rPr>
          <w:szCs w:val="20"/>
        </w:rPr>
        <w:t>Brexit</w:t>
      </w:r>
      <w:proofErr w:type="spellEnd"/>
      <w:r w:rsidRPr="008F385D">
        <w:rPr>
          <w:szCs w:val="20"/>
        </w:rPr>
        <w:t>, tensions commerciales, ralentissement chinois –, elle a choisi de marquer une pause dans la remontée de ses taux directeurs, entamée fin 2015 (ils évoluent aujourd’hui entre 2,25 % et 2,50 %).</w:t>
      </w:r>
    </w:p>
    <w:p w:rsidR="00C271A3" w:rsidRPr="008F385D" w:rsidRDefault="00C271A3" w:rsidP="00C271A3">
      <w:pPr>
        <w:rPr>
          <w:szCs w:val="20"/>
        </w:rPr>
      </w:pPr>
      <w:r w:rsidRPr="008F385D">
        <w:rPr>
          <w:szCs w:val="20"/>
        </w:rPr>
        <w:t xml:space="preserve">Dans la foulée, la plupart des instituts monétaires des pays industrialisés, du Canada à l’Australie en passant par l’Europe, ont envoyé le même signal. « Ils ont suspendu le retour à la normale de leur politique monétaire, afin de contrer le ralentissement de l’économie », résume Carsten </w:t>
      </w:r>
      <w:proofErr w:type="spellStart"/>
      <w:r w:rsidRPr="008F385D">
        <w:rPr>
          <w:szCs w:val="20"/>
        </w:rPr>
        <w:t>Brzeski</w:t>
      </w:r>
      <w:proofErr w:type="spellEnd"/>
      <w:r w:rsidRPr="008F385D">
        <w:rPr>
          <w:szCs w:val="20"/>
        </w:rPr>
        <w:t xml:space="preserve">, spécialiste du sujet chez ING. La Banque centrale européenne (BCE) est même allée plus loin : jeudi 7 mars, elle a annoncé une nouvelle salve de prêts géants aux banques, tout en repoussant à 2020 la remontée de ses taux. Et pour cause : la croissance de la zone euro ne devrait pas dépasser 1,1 % cette année, loin des 2,5 % enregistrés en 2017. « Nous sommes dans une période de faiblesse persistante et d’incertitude généralisée », a concédé Mario </w:t>
      </w:r>
      <w:proofErr w:type="spellStart"/>
      <w:r w:rsidRPr="008F385D">
        <w:rPr>
          <w:szCs w:val="20"/>
        </w:rPr>
        <w:t>Draghi</w:t>
      </w:r>
      <w:proofErr w:type="spellEnd"/>
      <w:r w:rsidRPr="008F385D">
        <w:rPr>
          <w:szCs w:val="20"/>
        </w:rPr>
        <w:t>, le président de l’institut situé à Francfort, pendant sa conférence de presse.</w:t>
      </w:r>
    </w:p>
    <w:p w:rsidR="00C271A3" w:rsidRPr="008F385D" w:rsidRDefault="00C271A3" w:rsidP="00C271A3">
      <w:pPr>
        <w:rPr>
          <w:szCs w:val="20"/>
        </w:rPr>
      </w:pPr>
      <w:r w:rsidRPr="008F385D">
        <w:rPr>
          <w:szCs w:val="20"/>
        </w:rPr>
        <w:t>C’est dire si les banques centrales se retrouvent dans une situation délicate. Il y a quelques mois encore, elles espéraient profiter du retour de la croissance pour remballer, enfin, la panoplie d’outils exceptionnels qu’elles avaient déployée pendant la crise : taux bas, achats de dettes souveraines, injections de liquidités… Mais, face au ralentissement marqué de ce début d’année, elles se voient contraintes de les maintenir. Est-ce à dire qu’elles paniquent ? Pas encore. « Elles ont réagi au léger coup de mou de l’activité et de l’inflation, et cela devrait suffire : elles n’auront pas besoin d’en faire plus », estime M. </w:t>
      </w:r>
      <w:proofErr w:type="spellStart"/>
      <w:r w:rsidRPr="008F385D">
        <w:rPr>
          <w:szCs w:val="20"/>
        </w:rPr>
        <w:t>Brzeski</w:t>
      </w:r>
      <w:proofErr w:type="spellEnd"/>
      <w:r w:rsidRPr="008F385D">
        <w:rPr>
          <w:szCs w:val="20"/>
        </w:rPr>
        <w:t xml:space="preserve">. « Ce ralentissement conjoncturel est sans commune mesure avec la crise financière de 2008 », rassure Louis </w:t>
      </w:r>
      <w:proofErr w:type="spellStart"/>
      <w:r w:rsidRPr="008F385D">
        <w:rPr>
          <w:szCs w:val="20"/>
        </w:rPr>
        <w:t>Harreau</w:t>
      </w:r>
      <w:proofErr w:type="spellEnd"/>
      <w:r w:rsidRPr="008F385D">
        <w:rPr>
          <w:szCs w:val="20"/>
        </w:rPr>
        <w:t>, stratégiste au Crédit agricole CIB. Si tout va bien, la croissance pourrait même se redresser un peu sur la deuxième partie de l’année.</w:t>
      </w:r>
    </w:p>
    <w:p w:rsidR="00C271A3" w:rsidRPr="008F385D" w:rsidRDefault="00C271A3" w:rsidP="00C271A3">
      <w:pPr>
        <w:rPr>
          <w:szCs w:val="20"/>
        </w:rPr>
      </w:pPr>
      <w:r w:rsidRPr="008F385D">
        <w:rPr>
          <w:szCs w:val="20"/>
        </w:rPr>
        <w:t>Voilà pour le scénario optimiste. Mais si l’accumulation des incertitudes dégénérait en récession, comme le redoutent les tenants du scénario noir ? Et si la prochaine crise financière frappait plus tôt que prévu ? La Fed pourrait toujours rebaisser un peu ses taux. « La BCE, elle, aurait des marges de manœuvre plus limitée », ajoute M. </w:t>
      </w:r>
      <w:proofErr w:type="spellStart"/>
      <w:r w:rsidRPr="008F385D">
        <w:rPr>
          <w:szCs w:val="20"/>
        </w:rPr>
        <w:t>Harreau</w:t>
      </w:r>
      <w:proofErr w:type="spellEnd"/>
      <w:r w:rsidRPr="008F385D">
        <w:rPr>
          <w:szCs w:val="20"/>
        </w:rPr>
        <w:t>. Son taux directeur est à 0 % depuis mars 2016. En outre, son taux de dépôt est déjà négatif (− 0,4 %) –une mesure revenant à taxer les banques sur les liquidités excédentaires qu’elles laissent dans ses coffres, afin de les inciter à prêter plus aux ménages et aux entreprises. Le baisser plus encore pourrait se révéler contre-productif, en fragilisant le secteur bancaire.</w:t>
      </w:r>
    </w:p>
    <w:p w:rsidR="00C271A3" w:rsidRPr="008F385D" w:rsidRDefault="00C271A3" w:rsidP="00C271A3">
      <w:pPr>
        <w:rPr>
          <w:szCs w:val="20"/>
        </w:rPr>
      </w:pPr>
      <w:r w:rsidRPr="008F385D">
        <w:rPr>
          <w:szCs w:val="20"/>
        </w:rPr>
        <w:t xml:space="preserve">Restent les rachats de dettes publiques et privées (le « quantitative </w:t>
      </w:r>
      <w:proofErr w:type="spellStart"/>
      <w:r w:rsidRPr="008F385D">
        <w:rPr>
          <w:szCs w:val="20"/>
        </w:rPr>
        <w:t>easing</w:t>
      </w:r>
      <w:proofErr w:type="spellEnd"/>
      <w:r w:rsidRPr="008F385D">
        <w:rPr>
          <w:szCs w:val="20"/>
        </w:rPr>
        <w:t xml:space="preserve"> » en anglais, ou QE). En janvier, la BCE a suspendu ce programme, jugeant qu’il n’était plus nécessaire, tout en conservant les titres déjà achetés dans son bilan. En théorie, elle pourrait le réactiver un peu. Cela éviterait la remontée des taux d’emprunt souverains. Mais les effets dopants sur l’activité seraient limités, jugent les économistes. « Les banques centrales sont arrivées au bout de leurs possibilités, résume Gregory </w:t>
      </w:r>
      <w:proofErr w:type="spellStart"/>
      <w:r w:rsidRPr="008F385D">
        <w:rPr>
          <w:szCs w:val="20"/>
        </w:rPr>
        <w:t>Daco</w:t>
      </w:r>
      <w:proofErr w:type="spellEnd"/>
      <w:r w:rsidRPr="008F385D">
        <w:rPr>
          <w:szCs w:val="20"/>
        </w:rPr>
        <w:t xml:space="preserve">, chez Oxford </w:t>
      </w:r>
      <w:proofErr w:type="spellStart"/>
      <w:r w:rsidRPr="008F385D">
        <w:rPr>
          <w:szCs w:val="20"/>
        </w:rPr>
        <w:t>Economics</w:t>
      </w:r>
      <w:proofErr w:type="spellEnd"/>
      <w:r w:rsidRPr="008F385D">
        <w:rPr>
          <w:szCs w:val="20"/>
        </w:rPr>
        <w:t xml:space="preserve">. En cas de nouvelle crise majeure, elles ne pourront pas, cette fois, voler massivement à notre secours. » </w:t>
      </w:r>
    </w:p>
    <w:p w:rsidR="00C271A3" w:rsidRPr="008F385D" w:rsidRDefault="00C271A3" w:rsidP="00C271A3">
      <w:pPr>
        <w:rPr>
          <w:szCs w:val="20"/>
        </w:rPr>
      </w:pPr>
      <w:r w:rsidRPr="008F385D">
        <w:rPr>
          <w:szCs w:val="20"/>
        </w:rPr>
        <w:t>Dans ce débat, on en oublierait presque que les politiques économiques ne se résument pas au volet monétaire. Les politiques budgétaires sont tout aussi essentielles pour soutenir l’économie en cas de récession, par la hausse des dépenses publiques ou la baisse des impôts. Seulement voilà : la dette des Etats a explosé depuis la dernière crise. Si l’on ajoute celle du secteur privé, la dette mondiale totale est passée de 208 % à 230 % du produit intérieur brut (PIB) depuis 2008, selon Standard &amp; </w:t>
      </w:r>
      <w:proofErr w:type="spellStart"/>
      <w:r w:rsidRPr="008F385D">
        <w:rPr>
          <w:szCs w:val="20"/>
        </w:rPr>
        <w:t>Poor’s</w:t>
      </w:r>
      <w:proofErr w:type="spellEnd"/>
      <w:r w:rsidRPr="008F385D">
        <w:rPr>
          <w:szCs w:val="20"/>
        </w:rPr>
        <w:t>. Les gouvernements ont donc des moyens d’action plus limités eux aussi.</w:t>
      </w:r>
    </w:p>
    <w:p w:rsidR="00C271A3" w:rsidRPr="008F385D" w:rsidRDefault="00C271A3" w:rsidP="00C271A3">
      <w:pPr>
        <w:rPr>
          <w:szCs w:val="20"/>
        </w:rPr>
      </w:pPr>
      <w:r w:rsidRPr="008F385D">
        <w:rPr>
          <w:szCs w:val="20"/>
        </w:rPr>
        <w:t>Malgré tout, les taux bas rendent les niveaux élevés de dettes bien plus soutenables qu’autrefois, comme le rappellent les travaux récents d’Olivier Blanchard, ancien chef économiste du Fonds monétaire international (FMI) aujourd’hui au Peterson Institute. Or, les taux bas sont là pour durer. Dans ces conditions, les gouvernements ont plus de marge de manœuvre qu’ils le disent.</w:t>
      </w:r>
    </w:p>
    <w:p w:rsidR="00C271A3" w:rsidRPr="008F385D" w:rsidRDefault="00C271A3" w:rsidP="00C271A3">
      <w:pPr>
        <w:rPr>
          <w:szCs w:val="20"/>
        </w:rPr>
      </w:pPr>
      <w:r w:rsidRPr="008F385D">
        <w:rPr>
          <w:szCs w:val="20"/>
        </w:rPr>
        <w:lastRenderedPageBreak/>
        <w:t>Au reste, la plupart des institutions internationales, telles que l’Organisation de coopération et de développement économiques (OCDE), les appellent aujourd’hui à faire leur part du travail pour soutenir l’activité. En particulier en s’attaquant aux fragilités structurelles menaçant la croissance de long terme, telles que la montée des inégalités, la précarisation de l’emploi, la faiblesse de la productivité ou encore, le changement climatique.</w:t>
      </w:r>
    </w:p>
    <w:p w:rsidR="00C271A3" w:rsidRPr="008F385D" w:rsidRDefault="00C271A3" w:rsidP="00C271A3">
      <w:pPr>
        <w:rPr>
          <w:szCs w:val="20"/>
        </w:rPr>
      </w:pPr>
    </w:p>
    <w:p w:rsidR="00C271A3" w:rsidRPr="00C271A3" w:rsidRDefault="00C271A3" w:rsidP="00C271A3">
      <w:pPr>
        <w:jc w:val="right"/>
        <w:rPr>
          <w:b/>
          <w:i/>
          <w:szCs w:val="20"/>
        </w:rPr>
      </w:pPr>
      <w:r w:rsidRPr="00C271A3">
        <w:rPr>
          <w:rStyle w:val="metaauthor"/>
          <w:b/>
          <w:i/>
          <w:szCs w:val="20"/>
        </w:rPr>
        <w:t xml:space="preserve">Marie </w:t>
      </w:r>
      <w:proofErr w:type="spellStart"/>
      <w:r w:rsidRPr="00C271A3">
        <w:rPr>
          <w:rStyle w:val="metaauthor"/>
          <w:b/>
          <w:i/>
          <w:szCs w:val="20"/>
        </w:rPr>
        <w:t>Charrel</w:t>
      </w:r>
      <w:proofErr w:type="spellEnd"/>
      <w:r w:rsidRPr="00C271A3">
        <w:rPr>
          <w:rStyle w:val="metaauthor"/>
          <w:b/>
          <w:i/>
          <w:szCs w:val="20"/>
        </w:rPr>
        <w:t xml:space="preserve">, </w:t>
      </w:r>
      <w:hyperlink r:id="rId15" w:history="1">
        <w:r w:rsidRPr="00C271A3">
          <w:rPr>
            <w:rStyle w:val="Lienhypertexte"/>
            <w:b/>
            <w:i/>
            <w:szCs w:val="20"/>
          </w:rPr>
          <w:t>Le Monde</w:t>
        </w:r>
      </w:hyperlink>
      <w:r w:rsidRPr="00C271A3">
        <w:rPr>
          <w:rStyle w:val="metaauthor"/>
          <w:b/>
          <w:i/>
          <w:szCs w:val="20"/>
        </w:rPr>
        <w:t xml:space="preserve">, </w:t>
      </w:r>
      <w:r w:rsidRPr="00C271A3">
        <w:rPr>
          <w:rStyle w:val="metadate"/>
          <w:b/>
          <w:i/>
          <w:szCs w:val="20"/>
        </w:rPr>
        <w:t>le 16 mars 2019</w:t>
      </w:r>
    </w:p>
    <w:p w:rsidR="00C271A3" w:rsidRDefault="00C271A3" w:rsidP="00C271A3"/>
    <w:p w:rsidR="00C271A3" w:rsidRPr="007945C8" w:rsidRDefault="00C271A3" w:rsidP="00C271A3">
      <w:pPr>
        <w:jc w:val="center"/>
        <w:rPr>
          <w:b/>
        </w:rPr>
      </w:pPr>
      <w:r w:rsidRPr="007945C8">
        <w:rPr>
          <w:b/>
        </w:rPr>
        <w:t>Taux directeur des banques centrales</w:t>
      </w:r>
    </w:p>
    <w:p w:rsidR="00C271A3" w:rsidRDefault="00C271A3" w:rsidP="00C271A3">
      <w:pPr>
        <w:jc w:val="center"/>
      </w:pPr>
      <w:r w:rsidRPr="007945C8">
        <w:rPr>
          <w:noProof/>
          <w:lang w:eastAsia="fr-FR"/>
        </w:rPr>
        <w:drawing>
          <wp:inline distT="0" distB="0" distL="0" distR="0">
            <wp:extent cx="5760720" cy="3765353"/>
            <wp:effectExtent l="19050" t="0" r="11430" b="6547"/>
            <wp:docPr id="2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271A3" w:rsidRDefault="00C271A3" w:rsidP="00C271A3"/>
    <w:p w:rsidR="00C271A3" w:rsidRPr="00C271A3" w:rsidRDefault="00C202CE" w:rsidP="00C271A3">
      <w:pPr>
        <w:jc w:val="right"/>
        <w:rPr>
          <w:b/>
          <w:i/>
        </w:rPr>
      </w:pPr>
      <w:hyperlink r:id="rId17" w:history="1">
        <w:r w:rsidR="00C271A3" w:rsidRPr="00C271A3">
          <w:rPr>
            <w:rStyle w:val="Lienhypertexte"/>
            <w:b/>
            <w:i/>
          </w:rPr>
          <w:t>Banque du Japon</w:t>
        </w:r>
      </w:hyperlink>
      <w:r w:rsidR="00C271A3" w:rsidRPr="00C271A3">
        <w:rPr>
          <w:b/>
          <w:i/>
        </w:rPr>
        <w:t xml:space="preserve">, </w:t>
      </w:r>
      <w:hyperlink r:id="rId18" w:history="1">
        <w:r w:rsidR="00C271A3" w:rsidRPr="00C271A3">
          <w:rPr>
            <w:rStyle w:val="Lienhypertexte"/>
            <w:b/>
            <w:i/>
          </w:rPr>
          <w:t>Banque d’Angleterre</w:t>
        </w:r>
      </w:hyperlink>
      <w:r w:rsidR="00C271A3" w:rsidRPr="00C271A3">
        <w:rPr>
          <w:b/>
          <w:i/>
        </w:rPr>
        <w:t xml:space="preserve">, </w:t>
      </w:r>
      <w:hyperlink r:id="rId19" w:history="1">
        <w:proofErr w:type="spellStart"/>
        <w:r w:rsidR="00C271A3" w:rsidRPr="00C271A3">
          <w:rPr>
            <w:rStyle w:val="Lienhypertexte"/>
            <w:b/>
            <w:i/>
          </w:rPr>
          <w:t>Federal</w:t>
        </w:r>
        <w:proofErr w:type="spellEnd"/>
        <w:r w:rsidR="00C271A3" w:rsidRPr="00C271A3">
          <w:rPr>
            <w:rStyle w:val="Lienhypertexte"/>
            <w:b/>
            <w:i/>
          </w:rPr>
          <w:t xml:space="preserve"> Reserve</w:t>
        </w:r>
      </w:hyperlink>
      <w:r w:rsidR="00C271A3" w:rsidRPr="00C271A3">
        <w:rPr>
          <w:b/>
          <w:i/>
        </w:rPr>
        <w:t xml:space="preserve">, </w:t>
      </w:r>
      <w:hyperlink r:id="rId20" w:history="1">
        <w:r w:rsidR="00C271A3" w:rsidRPr="00C271A3">
          <w:rPr>
            <w:rStyle w:val="Lienhypertexte"/>
            <w:b/>
            <w:i/>
          </w:rPr>
          <w:t>BCE</w:t>
        </w:r>
      </w:hyperlink>
    </w:p>
    <w:p w:rsidR="00C271A3" w:rsidRDefault="00C271A3" w:rsidP="00C271A3"/>
    <w:p w:rsidR="00C271A3" w:rsidRPr="00C271A3" w:rsidRDefault="00C271A3" w:rsidP="00C271A3">
      <w:pPr>
        <w:pStyle w:val="Paragraphedeliste"/>
        <w:widowControl w:val="0"/>
        <w:numPr>
          <w:ilvl w:val="0"/>
          <w:numId w:val="3"/>
        </w:numPr>
        <w:autoSpaceDE w:val="0"/>
        <w:autoSpaceDN w:val="0"/>
        <w:adjustRightInd w:val="0"/>
        <w:spacing w:after="0" w:line="240" w:lineRule="auto"/>
        <w:rPr>
          <w:rFonts w:ascii="Calibri" w:hAnsi="Calibri" w:cs="Calibri"/>
        </w:rPr>
      </w:pPr>
      <w:r w:rsidRPr="00C271A3">
        <w:rPr>
          <w:rFonts w:ascii="Calibri" w:hAnsi="Calibri" w:cs="Calibri"/>
        </w:rPr>
        <w:t>Quel est le problème économique dont s’inquiètent les banques centrales au début de l’année 2019</w:t>
      </w:r>
    </w:p>
    <w:p w:rsidR="00C271A3" w:rsidRPr="00C271A3" w:rsidRDefault="00C271A3" w:rsidP="00C271A3">
      <w:pPr>
        <w:pStyle w:val="Paragraphedeliste"/>
        <w:widowControl w:val="0"/>
        <w:numPr>
          <w:ilvl w:val="0"/>
          <w:numId w:val="3"/>
        </w:numPr>
        <w:autoSpaceDE w:val="0"/>
        <w:autoSpaceDN w:val="0"/>
        <w:adjustRightInd w:val="0"/>
        <w:spacing w:after="0" w:line="240" w:lineRule="auto"/>
        <w:rPr>
          <w:rFonts w:ascii="Calibri" w:hAnsi="Calibri" w:cs="Calibri"/>
        </w:rPr>
      </w:pPr>
      <w:r w:rsidRPr="00C271A3">
        <w:rPr>
          <w:rFonts w:ascii="Calibri" w:hAnsi="Calibri" w:cs="Calibri"/>
        </w:rPr>
        <w:t>Quelles sont les armes monétaires inédites utilisées par les banques centrales en réponse à la crise de 2008 ?</w:t>
      </w:r>
    </w:p>
    <w:p w:rsidR="00C271A3" w:rsidRPr="00C271A3" w:rsidRDefault="00C271A3" w:rsidP="00C271A3">
      <w:pPr>
        <w:pStyle w:val="Paragraphedeliste"/>
        <w:widowControl w:val="0"/>
        <w:numPr>
          <w:ilvl w:val="0"/>
          <w:numId w:val="3"/>
        </w:numPr>
        <w:autoSpaceDE w:val="0"/>
        <w:autoSpaceDN w:val="0"/>
        <w:adjustRightInd w:val="0"/>
        <w:spacing w:after="0" w:line="240" w:lineRule="auto"/>
        <w:rPr>
          <w:rFonts w:ascii="Calibri" w:hAnsi="Calibri" w:cs="Calibri"/>
        </w:rPr>
      </w:pPr>
      <w:r w:rsidRPr="00C271A3">
        <w:rPr>
          <w:rFonts w:ascii="Calibri" w:hAnsi="Calibri" w:cs="Calibri"/>
        </w:rPr>
        <w:t>Comment les banques centrales peuvent-elles stimuler la croissance économique en 2019 ? (utilisez également le graphique).</w:t>
      </w:r>
    </w:p>
    <w:p w:rsidR="00C271A3" w:rsidRPr="00C271A3" w:rsidRDefault="00C271A3" w:rsidP="00C271A3">
      <w:pPr>
        <w:pStyle w:val="Paragraphedeliste"/>
        <w:widowControl w:val="0"/>
        <w:numPr>
          <w:ilvl w:val="0"/>
          <w:numId w:val="3"/>
        </w:numPr>
        <w:autoSpaceDE w:val="0"/>
        <w:autoSpaceDN w:val="0"/>
        <w:adjustRightInd w:val="0"/>
        <w:spacing w:after="0" w:line="240" w:lineRule="auto"/>
        <w:rPr>
          <w:rFonts w:ascii="Calibri" w:hAnsi="Calibri" w:cs="Calibri"/>
        </w:rPr>
      </w:pPr>
      <w:r w:rsidRPr="00C271A3">
        <w:rPr>
          <w:rFonts w:ascii="Calibri" w:hAnsi="Calibri" w:cs="Calibri"/>
        </w:rPr>
        <w:t>Y-a-t-il d’autres instruments que la politique monétaire pour relancer la croissance économiques ?</w:t>
      </w:r>
    </w:p>
    <w:p w:rsidR="0092227D" w:rsidRDefault="0092227D" w:rsidP="0092227D">
      <w:pPr>
        <w:pStyle w:val="Sansinterligne"/>
      </w:pPr>
    </w:p>
    <w:p w:rsidR="0092227D" w:rsidRDefault="0092227D" w:rsidP="0092227D">
      <w:pPr>
        <w:jc w:val="left"/>
        <w:rPr>
          <w:rFonts w:ascii="Calibri Light" w:hAnsi="Calibri Light"/>
          <w:b/>
          <w:noProof/>
          <w:color w:val="000000" w:themeColor="text1"/>
          <w:sz w:val="24"/>
          <w:szCs w:val="24"/>
          <w:lang w:eastAsia="fr-FR"/>
        </w:rPr>
      </w:pPr>
      <w:r>
        <w:br w:type="page"/>
      </w:r>
    </w:p>
    <w:p w:rsidR="0092227D" w:rsidRPr="00506EBE" w:rsidRDefault="0092227D" w:rsidP="0092227D">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92227D" w:rsidRPr="00F35289" w:rsidRDefault="0092227D" w:rsidP="0092227D">
      <w:pPr>
        <w:jc w:val="center"/>
        <w:rPr>
          <w:b/>
          <w:sz w:val="24"/>
          <w:szCs w:val="24"/>
        </w:rPr>
      </w:pPr>
      <w:r w:rsidRPr="00F35289">
        <w:rPr>
          <w:b/>
          <w:sz w:val="24"/>
          <w:szCs w:val="24"/>
        </w:rPr>
        <w:t>Épreuve commune de c</w:t>
      </w:r>
      <w:r>
        <w:rPr>
          <w:b/>
          <w:sz w:val="24"/>
          <w:szCs w:val="24"/>
        </w:rPr>
        <w:t xml:space="preserve">ontrôle continu (E3C) – Partie </w:t>
      </w:r>
      <w:r w:rsidR="00C271A3">
        <w:rPr>
          <w:b/>
          <w:sz w:val="24"/>
          <w:szCs w:val="24"/>
        </w:rPr>
        <w:t>2</w:t>
      </w:r>
    </w:p>
    <w:p w:rsidR="0092227D" w:rsidRDefault="0092227D" w:rsidP="0092227D"/>
    <w:p w:rsidR="00C271A3" w:rsidRPr="00C271A3" w:rsidRDefault="00C271A3" w:rsidP="00C271A3">
      <w:pPr>
        <w:spacing w:after="0" w:line="240" w:lineRule="auto"/>
        <w:rPr>
          <w:b/>
          <w:sz w:val="24"/>
          <w:szCs w:val="24"/>
        </w:rPr>
      </w:pPr>
      <w:r w:rsidRPr="00C271A3">
        <w:rPr>
          <w:b/>
          <w:sz w:val="24"/>
          <w:szCs w:val="24"/>
        </w:rPr>
        <w:t xml:space="preserve">Sujet </w:t>
      </w:r>
    </w:p>
    <w:p w:rsidR="00C271A3" w:rsidRDefault="00C271A3" w:rsidP="00C271A3">
      <w:r>
        <w:t>Quelles sont les conséquences des interventions de la Banque Centrale Européenne sur l’économie française depuis la crise de 2008 ?</w:t>
      </w:r>
    </w:p>
    <w:p w:rsidR="00C271A3" w:rsidRPr="00943676" w:rsidRDefault="00C271A3" w:rsidP="00C271A3">
      <w:pPr>
        <w:rPr>
          <w:b/>
          <w:u w:val="single"/>
        </w:rPr>
      </w:pPr>
      <w:r>
        <w:rPr>
          <w:b/>
          <w:u w:val="single"/>
        </w:rPr>
        <w:t>Document 1</w:t>
      </w:r>
      <w:r w:rsidRPr="00943676">
        <w:rPr>
          <w:b/>
          <w:u w:val="single"/>
        </w:rPr>
        <w:t xml:space="preserve"> : </w:t>
      </w:r>
    </w:p>
    <w:p w:rsidR="00C271A3" w:rsidRPr="000B72D3" w:rsidRDefault="00C271A3" w:rsidP="00C271A3">
      <w:pPr>
        <w:rPr>
          <w:szCs w:val="20"/>
        </w:rPr>
      </w:pPr>
      <w:r w:rsidRPr="000B72D3">
        <w:rPr>
          <w:szCs w:val="20"/>
        </w:rPr>
        <w:t xml:space="preserve">Dès l’été 2007, la crise des </w:t>
      </w:r>
      <w:proofErr w:type="spellStart"/>
      <w:r w:rsidRPr="000B72D3">
        <w:rPr>
          <w:szCs w:val="20"/>
        </w:rPr>
        <w:t>subprimes</w:t>
      </w:r>
      <w:proofErr w:type="spellEnd"/>
      <w:r w:rsidRPr="000B72D3">
        <w:rPr>
          <w:szCs w:val="20"/>
        </w:rPr>
        <w:t xml:space="preserve"> aux USA s’est rapidement propagée compte tenu de la globalisation financière et de l’interdépendance des acteurs financiers. […]</w:t>
      </w:r>
    </w:p>
    <w:p w:rsidR="00C271A3" w:rsidRPr="000B72D3" w:rsidRDefault="00C271A3" w:rsidP="00C271A3">
      <w:pPr>
        <w:rPr>
          <w:szCs w:val="20"/>
        </w:rPr>
      </w:pPr>
      <w:r w:rsidRPr="000B72D3">
        <w:rPr>
          <w:szCs w:val="20"/>
        </w:rPr>
        <w:t>La BCE, comme les autres banques centrales est intervenue pour s’efforcer de restaurer la confiance sur les marchés financiers, soutenir le système bancaire et éviter le rationnement du crédit aux ménages et aux entreprises. Ce faisant, elle a été amenée à décider de la mise en œuvre de mesures dites « non conventionnelles ». […]</w:t>
      </w:r>
    </w:p>
    <w:p w:rsidR="00C271A3" w:rsidRPr="000B72D3" w:rsidRDefault="00C271A3" w:rsidP="00C271A3">
      <w:pPr>
        <w:rPr>
          <w:szCs w:val="20"/>
        </w:rPr>
      </w:pPr>
      <w:r w:rsidRPr="000B72D3">
        <w:rPr>
          <w:szCs w:val="20"/>
        </w:rPr>
        <w:t xml:space="preserve">Au cours des dernières années, la BCE a eu de recours à des mesures non conventionnelles : extension de la liste des actifs admis en garantie dans le cadre des opérations d’open </w:t>
      </w:r>
      <w:proofErr w:type="spellStart"/>
      <w:r w:rsidRPr="000B72D3">
        <w:rPr>
          <w:szCs w:val="20"/>
        </w:rPr>
        <w:t>market</w:t>
      </w:r>
      <w:proofErr w:type="spellEnd"/>
      <w:r w:rsidRPr="000B72D3">
        <w:rPr>
          <w:szCs w:val="20"/>
        </w:rPr>
        <w:t xml:space="preserve">, apport de liquidités à long terme, achats fermes de titres, lancement d’un programme d’assouplissement quantitatif (souvent appelé QE pour « quantitative </w:t>
      </w:r>
      <w:proofErr w:type="spellStart"/>
      <w:r w:rsidRPr="000B72D3">
        <w:rPr>
          <w:szCs w:val="20"/>
        </w:rPr>
        <w:t>easing</w:t>
      </w:r>
      <w:proofErr w:type="spellEnd"/>
      <w:r w:rsidRPr="000B72D3">
        <w:rPr>
          <w:szCs w:val="20"/>
        </w:rPr>
        <w:t> »).</w:t>
      </w:r>
    </w:p>
    <w:p w:rsidR="00C271A3" w:rsidRPr="000B72D3" w:rsidRDefault="00C271A3" w:rsidP="00C271A3">
      <w:pPr>
        <w:rPr>
          <w:szCs w:val="20"/>
        </w:rPr>
      </w:pPr>
      <w:r w:rsidRPr="000B72D3">
        <w:rPr>
          <w:szCs w:val="20"/>
        </w:rPr>
        <w:t xml:space="preserve">En temps normal, lorsqu’elles conduisent leurs opérations d’open </w:t>
      </w:r>
      <w:proofErr w:type="spellStart"/>
      <w:r w:rsidRPr="000B72D3">
        <w:rPr>
          <w:szCs w:val="20"/>
        </w:rPr>
        <w:t>market</w:t>
      </w:r>
      <w:proofErr w:type="spellEnd"/>
      <w:r w:rsidRPr="000B72D3">
        <w:rPr>
          <w:szCs w:val="20"/>
        </w:rPr>
        <w:t>, la BCE et les Banques centrales nationales évaluent le besoin total de liquidité du secteur bancaire et allouent ce montant à travers des appels d’offres.</w:t>
      </w:r>
    </w:p>
    <w:p w:rsidR="00C271A3" w:rsidRPr="000B72D3" w:rsidRDefault="00C271A3" w:rsidP="00C271A3">
      <w:pPr>
        <w:rPr>
          <w:szCs w:val="20"/>
        </w:rPr>
      </w:pPr>
      <w:r w:rsidRPr="000B72D3">
        <w:rPr>
          <w:szCs w:val="20"/>
        </w:rPr>
        <w:t xml:space="preserve">Mais avec le déclenchement de la crise financière, les banques n’osaient plus se prêter entre elles, de peur d’avoir affaire à une contrepartie proche de la faillite. Aussi, pour empêcher le blocage du marché monétaire, la BCE a décidé d’allouer la totalité de la liquidité demandée par les banques, à un taux d’intérêt fixe et peu élevé (en liaison avec les baisses répétées de son taux de refinancement principal) dans le cadre du programme VLTRO « </w:t>
      </w:r>
      <w:proofErr w:type="spellStart"/>
      <w:r w:rsidRPr="000B72D3">
        <w:rPr>
          <w:szCs w:val="20"/>
        </w:rPr>
        <w:t>Very</w:t>
      </w:r>
      <w:proofErr w:type="spellEnd"/>
      <w:r w:rsidRPr="000B72D3">
        <w:rPr>
          <w:szCs w:val="20"/>
        </w:rPr>
        <w:t xml:space="preserve"> Long </w:t>
      </w:r>
      <w:proofErr w:type="spellStart"/>
      <w:r w:rsidRPr="000B72D3">
        <w:rPr>
          <w:szCs w:val="20"/>
        </w:rPr>
        <w:t>Term</w:t>
      </w:r>
      <w:proofErr w:type="spellEnd"/>
      <w:r w:rsidRPr="000B72D3">
        <w:rPr>
          <w:szCs w:val="20"/>
        </w:rPr>
        <w:t xml:space="preserve"> </w:t>
      </w:r>
      <w:proofErr w:type="spellStart"/>
      <w:r w:rsidRPr="000B72D3">
        <w:rPr>
          <w:szCs w:val="20"/>
        </w:rPr>
        <w:t>Refinancing</w:t>
      </w:r>
      <w:proofErr w:type="spellEnd"/>
      <w:r w:rsidRPr="000B72D3">
        <w:rPr>
          <w:szCs w:val="20"/>
        </w:rPr>
        <w:t xml:space="preserve"> Operations » conduit par l’</w:t>
      </w:r>
      <w:proofErr w:type="spellStart"/>
      <w:r w:rsidRPr="000B72D3">
        <w:rPr>
          <w:szCs w:val="20"/>
        </w:rPr>
        <w:t>Eurosystème</w:t>
      </w:r>
      <w:proofErr w:type="spellEnd"/>
      <w:r w:rsidRPr="000B72D3">
        <w:rPr>
          <w:szCs w:val="20"/>
        </w:rPr>
        <w:t xml:space="preserve"> de décembre 2011 à février 2012. Les banques ayant progressivement retrouvé confiance les unes envers les autres, cette intervention spécifique de la BCE sur le marché monétaire a pris fin</w:t>
      </w:r>
    </w:p>
    <w:p w:rsidR="00C271A3" w:rsidRPr="000B72D3" w:rsidRDefault="00C271A3" w:rsidP="00C271A3">
      <w:pPr>
        <w:rPr>
          <w:szCs w:val="20"/>
        </w:rPr>
      </w:pPr>
      <w:r w:rsidRPr="000B72D3">
        <w:rPr>
          <w:szCs w:val="20"/>
        </w:rPr>
        <w:t>Depuis 2011, la BCE poursuit un objectif de stimulation de la distribution du crédit bancaire en zone euro pour aider au redémarrage de l’activité économique et à une remontée du taux d’inflation à des niveaux plus en rapport avec son objectif (proche de, mais inférieur à, 2% par an).</w:t>
      </w:r>
    </w:p>
    <w:p w:rsidR="00C271A3" w:rsidRPr="000B72D3" w:rsidRDefault="00C271A3" w:rsidP="00C271A3">
      <w:pPr>
        <w:rPr>
          <w:szCs w:val="20"/>
        </w:rPr>
      </w:pPr>
      <w:r w:rsidRPr="000B72D3">
        <w:rPr>
          <w:szCs w:val="20"/>
        </w:rPr>
        <w:t xml:space="preserve">Pour cela, elle  a décidé d’augmenter la fréquence et la durée de ses opérations de refinancement (opérations de refinancement à plus long terme, dites </w:t>
      </w:r>
      <w:proofErr w:type="spellStart"/>
      <w:r w:rsidRPr="000B72D3">
        <w:rPr>
          <w:szCs w:val="20"/>
        </w:rPr>
        <w:t>LTROs</w:t>
      </w:r>
      <w:proofErr w:type="spellEnd"/>
      <w:r w:rsidRPr="000B72D3">
        <w:rPr>
          <w:szCs w:val="20"/>
        </w:rPr>
        <w:t>). Elle a également abaissé les exigences minimales de qualité concernant les garanties sur les actifs que les banques doivent fournir lors de tout refinancement. La BCE a également mené des opérations pour fournir des liquidités en devises aux banques. Pour ce faire, elle agit en collaboration avec d’autres banques centrales des principales autres zones monétaires (et notamment la Fed et la Banque d’Angleterre).</w:t>
      </w:r>
    </w:p>
    <w:p w:rsidR="00C271A3" w:rsidRPr="000B72D3" w:rsidRDefault="00C271A3" w:rsidP="00C271A3">
      <w:pPr>
        <w:rPr>
          <w:szCs w:val="20"/>
        </w:rPr>
      </w:pPr>
      <w:r w:rsidRPr="000B72D3">
        <w:rPr>
          <w:szCs w:val="20"/>
        </w:rPr>
        <w:t>Par ailleurs, plutôt que d’accepter simplement certains actifs en garantie, la BCE a décidé d’acheter ce type d’actifs directement. C’est ce qu’on appelle des opérations d’achat d’obligations « sécurisées ». La BCE a agi d’abord sur le marché de la dette privée pour faciliter le refinancement à long terme des banques. Mais après le déclenchement de la crise des dettes publiques européennes en 2010, elle a aussi décidé d’acheter des obligations publiques sur le marché secondaire.</w:t>
      </w:r>
    </w:p>
    <w:p w:rsidR="00C271A3" w:rsidRPr="000B72D3" w:rsidRDefault="00C271A3" w:rsidP="00C271A3">
      <w:pPr>
        <w:rPr>
          <w:szCs w:val="20"/>
        </w:rPr>
      </w:pPr>
      <w:r w:rsidRPr="000B72D3">
        <w:rPr>
          <w:szCs w:val="20"/>
        </w:rPr>
        <w:t>L’objectif était de combattre la spéculation et la montée des taux d’intérêt sur la dette de certains États et de les aider à se refinancer. </w:t>
      </w:r>
    </w:p>
    <w:p w:rsidR="00C271A3" w:rsidRPr="000B72D3" w:rsidRDefault="00C271A3" w:rsidP="00C271A3">
      <w:pPr>
        <w:rPr>
          <w:szCs w:val="20"/>
        </w:rPr>
      </w:pPr>
      <w:r w:rsidRPr="000B72D3">
        <w:rPr>
          <w:szCs w:val="20"/>
        </w:rPr>
        <w:t>Au total, la BCE a racheté près de 2 000 milliards d’euros de dette publique au cours de ses programmes successifs de rachat d’obligations</w:t>
      </w:r>
      <w:proofErr w:type="gramStart"/>
      <w:r w:rsidRPr="000B72D3">
        <w:rPr>
          <w:szCs w:val="20"/>
        </w:rPr>
        <w:t>.[</w:t>
      </w:r>
      <w:proofErr w:type="gramEnd"/>
      <w:r w:rsidRPr="000B72D3">
        <w:rPr>
          <w:szCs w:val="20"/>
        </w:rPr>
        <w:t>…]</w:t>
      </w:r>
    </w:p>
    <w:p w:rsidR="00C271A3" w:rsidRPr="000B72D3" w:rsidRDefault="00C271A3" w:rsidP="00C271A3">
      <w:pPr>
        <w:rPr>
          <w:szCs w:val="20"/>
        </w:rPr>
      </w:pPr>
      <w:r w:rsidRPr="000B72D3">
        <w:rPr>
          <w:szCs w:val="20"/>
        </w:rPr>
        <w:lastRenderedPageBreak/>
        <w:t>Enfin, lors de sa réunion du 22 janvier 2015, la BCE a décidé de lancer un vaste programme d’assouplissement quantitatif. Celui-ci consiste à injecter des montants importants de liquidités dans le système financier de l’ordre, dans un premier temps, de 1100 milliards d’euros via des rachats de titres obligataires souverains et privés à raison de 60 milliards d’euros chaque mois. En rachetant massivement des obligations, la BCE cherche à faire augmenter leur prix, donc baisser les taux d’intérêt.</w:t>
      </w:r>
    </w:p>
    <w:p w:rsidR="00C271A3" w:rsidRPr="000B72D3" w:rsidRDefault="00C271A3" w:rsidP="00C271A3">
      <w:pPr>
        <w:rPr>
          <w:szCs w:val="20"/>
        </w:rPr>
      </w:pPr>
      <w:r w:rsidRPr="000B72D3">
        <w:rPr>
          <w:szCs w:val="20"/>
        </w:rPr>
        <w:t>Ce mécanisme peut se comprendre de façon plus intuitive. En effet, dans la mesure où les émetteurs d’obligations (États ou entreprises) bénéficient d’une plus forte demande pour les titres émis, ils pourront se permettre de les proposer à des taux plus faibles.</w:t>
      </w:r>
    </w:p>
    <w:p w:rsidR="00C271A3" w:rsidRPr="000B72D3" w:rsidRDefault="00C271A3" w:rsidP="00C271A3">
      <w:pPr>
        <w:rPr>
          <w:szCs w:val="20"/>
        </w:rPr>
      </w:pPr>
      <w:r w:rsidRPr="000B72D3">
        <w:rPr>
          <w:szCs w:val="20"/>
        </w:rPr>
        <w:t>En diminuant les taux auxquels s’endettent les États et les entreprises, la BCE leur apporte un soutien financier et peut les inciter à augmenter leurs investissements pour dynamiser l’activité économique.</w:t>
      </w:r>
      <w:r>
        <w:rPr>
          <w:szCs w:val="20"/>
        </w:rPr>
        <w:t xml:space="preserve"> </w:t>
      </w:r>
      <w:r w:rsidRPr="000B72D3">
        <w:rPr>
          <w:szCs w:val="20"/>
        </w:rPr>
        <w:t>[…].</w:t>
      </w:r>
    </w:p>
    <w:p w:rsidR="00C271A3" w:rsidRPr="000B72D3" w:rsidRDefault="00C271A3" w:rsidP="00C271A3">
      <w:pPr>
        <w:rPr>
          <w:szCs w:val="20"/>
        </w:rPr>
      </w:pPr>
      <w:r w:rsidRPr="000B72D3">
        <w:rPr>
          <w:szCs w:val="20"/>
        </w:rPr>
        <w:t>Le programme d’assouplissement quantitatif annoncé a pour objectif de relancer l’inflation et les anticipations d’inflation en zone euro. Le fait même qu’une quantité très importante de liquidités soit créée par la Banque Centrale Européenne et injectée sur les marchés financiers est de nature à faire baisser la valeur de l’euro. La baisse de la devise européenne sur les marchés des changes, entamée au second semestre 2014, provenait au moins en partie de l’anticipation par les opérateurs sur ces marchés de l’annonce d’un programme d’assouplissement quantitatif par la BCE.</w:t>
      </w:r>
    </w:p>
    <w:p w:rsidR="00C271A3" w:rsidRPr="000B72D3" w:rsidRDefault="00C271A3" w:rsidP="00C271A3">
      <w:pPr>
        <w:rPr>
          <w:szCs w:val="20"/>
        </w:rPr>
      </w:pPr>
      <w:r w:rsidRPr="000B72D3">
        <w:rPr>
          <w:szCs w:val="20"/>
        </w:rPr>
        <w:t>La baisse de l’euro vis-à-vis de l’ensemble des autres grandes monnaies, et notamment du dollar, a été favorable à la compétitivité des produits européens et aux exportations. La baisse de l’euro permet aussi de renchérir les prix des produits importés et joue à ce titre un rôle important dans la stratégie de la BCE pour relancer l’inflation dans la zone euro. Ces effets ont cependant été atténués par l’appréciation de l’euro face au dollar depuis 2017.</w:t>
      </w:r>
    </w:p>
    <w:p w:rsidR="00C271A3" w:rsidRPr="000B72D3" w:rsidRDefault="00C271A3" w:rsidP="00C271A3">
      <w:pPr>
        <w:rPr>
          <w:szCs w:val="20"/>
        </w:rPr>
      </w:pPr>
      <w:r w:rsidRPr="000B72D3">
        <w:rPr>
          <w:szCs w:val="20"/>
        </w:rPr>
        <w:t>Un autre objectif recherché par la BCE est de fournir des liquidités aux banques européennes dans l’espoir qu’elles l’utiliseront pour accorder des crédits aux entreprises et aux ménages.</w:t>
      </w:r>
    </w:p>
    <w:p w:rsidR="00C271A3" w:rsidRDefault="00C271A3" w:rsidP="00C271A3">
      <w:pPr>
        <w:rPr>
          <w:szCs w:val="20"/>
        </w:rPr>
      </w:pPr>
      <w:r w:rsidRPr="000B72D3">
        <w:rPr>
          <w:szCs w:val="20"/>
        </w:rPr>
        <w:t>Avec l’amélioration de la conjoncture économique en Europe et l’éloignement du risque de déflation, la BCE a annoncé en 2017 un ralentissement des volumes d’actifs achetés dans le cadre du QE. Cependant, la politique monétaire accommodante se poursuit en 2018.</w:t>
      </w:r>
    </w:p>
    <w:p w:rsidR="00C271A3" w:rsidRDefault="00C271A3" w:rsidP="00C271A3">
      <w:pPr>
        <w:rPr>
          <w:szCs w:val="20"/>
        </w:rPr>
      </w:pPr>
    </w:p>
    <w:p w:rsidR="00C271A3" w:rsidRPr="00C271A3" w:rsidRDefault="00C271A3" w:rsidP="00C271A3">
      <w:pPr>
        <w:spacing w:after="0" w:line="240" w:lineRule="auto"/>
        <w:jc w:val="right"/>
        <w:rPr>
          <w:b/>
          <w:i/>
          <w:szCs w:val="20"/>
        </w:rPr>
      </w:pPr>
      <w:r w:rsidRPr="00C271A3">
        <w:rPr>
          <w:b/>
          <w:i/>
          <w:szCs w:val="20"/>
        </w:rPr>
        <w:t xml:space="preserve">La finance pour tous, </w:t>
      </w:r>
      <w:hyperlink r:id="rId21" w:history="1">
        <w:r w:rsidRPr="00C271A3">
          <w:rPr>
            <w:rStyle w:val="Lienhypertexte"/>
            <w:b/>
            <w:i/>
            <w:szCs w:val="20"/>
          </w:rPr>
          <w:t>L’évolution du rôle de la banque centrale européenne</w:t>
        </w:r>
      </w:hyperlink>
      <w:r w:rsidRPr="00C271A3">
        <w:rPr>
          <w:b/>
          <w:i/>
          <w:szCs w:val="20"/>
        </w:rPr>
        <w:t>,</w:t>
      </w:r>
    </w:p>
    <w:p w:rsidR="00C271A3" w:rsidRPr="00C271A3" w:rsidRDefault="00C271A3" w:rsidP="00C271A3">
      <w:pPr>
        <w:spacing w:after="0" w:line="240" w:lineRule="auto"/>
        <w:jc w:val="right"/>
        <w:rPr>
          <w:b/>
          <w:i/>
          <w:szCs w:val="20"/>
        </w:rPr>
      </w:pPr>
      <w:proofErr w:type="gramStart"/>
      <w:r w:rsidRPr="00C271A3">
        <w:rPr>
          <w:b/>
          <w:i/>
          <w:szCs w:val="20"/>
        </w:rPr>
        <w:t>mise</w:t>
      </w:r>
      <w:proofErr w:type="gramEnd"/>
      <w:r w:rsidRPr="00C271A3">
        <w:rPr>
          <w:b/>
          <w:i/>
          <w:szCs w:val="20"/>
        </w:rPr>
        <w:t xml:space="preserve"> à jour le 18 septembre 2018</w:t>
      </w:r>
    </w:p>
    <w:p w:rsidR="00C271A3" w:rsidRDefault="00C271A3" w:rsidP="00C271A3"/>
    <w:p w:rsidR="00C271A3" w:rsidRDefault="00C271A3">
      <w:pPr>
        <w:jc w:val="left"/>
        <w:rPr>
          <w:b/>
          <w:u w:val="single"/>
        </w:rPr>
      </w:pPr>
      <w:r>
        <w:rPr>
          <w:b/>
          <w:u w:val="single"/>
        </w:rPr>
        <w:br w:type="page"/>
      </w:r>
    </w:p>
    <w:p w:rsidR="00C271A3" w:rsidRPr="00943676" w:rsidRDefault="00C271A3" w:rsidP="00C271A3">
      <w:pPr>
        <w:rPr>
          <w:b/>
          <w:u w:val="single"/>
        </w:rPr>
      </w:pPr>
      <w:r>
        <w:rPr>
          <w:b/>
          <w:u w:val="single"/>
        </w:rPr>
        <w:lastRenderedPageBreak/>
        <w:t>Document 2</w:t>
      </w:r>
      <w:r w:rsidRPr="00943676">
        <w:rPr>
          <w:b/>
          <w:u w:val="single"/>
        </w:rPr>
        <w:t xml:space="preserve"> : </w:t>
      </w:r>
    </w:p>
    <w:p w:rsidR="00C271A3" w:rsidRDefault="00C271A3" w:rsidP="00C271A3">
      <w:pPr>
        <w:jc w:val="center"/>
      </w:pPr>
      <w:r w:rsidRPr="00650952">
        <w:rPr>
          <w:noProof/>
          <w:lang w:eastAsia="fr-FR"/>
        </w:rPr>
        <w:drawing>
          <wp:inline distT="0" distB="0" distL="0" distR="0">
            <wp:extent cx="5760720" cy="3765353"/>
            <wp:effectExtent l="19050" t="0" r="11430" b="6547"/>
            <wp:docPr id="2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71A3" w:rsidRPr="00C271A3" w:rsidRDefault="00C202CE" w:rsidP="00C271A3">
      <w:pPr>
        <w:spacing w:after="0" w:line="240" w:lineRule="auto"/>
        <w:jc w:val="right"/>
        <w:rPr>
          <w:b/>
          <w:i/>
        </w:rPr>
      </w:pPr>
      <w:hyperlink r:id="rId23" w:history="1">
        <w:r w:rsidR="00C271A3" w:rsidRPr="00C271A3">
          <w:rPr>
            <w:rStyle w:val="Lienhypertexte"/>
            <w:b/>
            <w:i/>
          </w:rPr>
          <w:t>Base de données de la Banque de France</w:t>
        </w:r>
      </w:hyperlink>
      <w:r w:rsidR="00C271A3" w:rsidRPr="00C271A3">
        <w:rPr>
          <w:b/>
          <w:i/>
        </w:rPr>
        <w:t>, Taux directeurs mensuels</w:t>
      </w:r>
    </w:p>
    <w:p w:rsidR="00C271A3" w:rsidRPr="00C271A3" w:rsidRDefault="00C271A3" w:rsidP="00C271A3">
      <w:pPr>
        <w:spacing w:after="0" w:line="240" w:lineRule="auto"/>
        <w:jc w:val="right"/>
        <w:rPr>
          <w:b/>
          <w:i/>
        </w:rPr>
      </w:pPr>
      <w:r w:rsidRPr="00C271A3">
        <w:rPr>
          <w:b/>
          <w:i/>
        </w:rPr>
        <w:t xml:space="preserve">INSEE, </w:t>
      </w:r>
      <w:hyperlink r:id="rId24" w:anchor="Tableau" w:history="1">
        <w:r w:rsidRPr="00C271A3">
          <w:rPr>
            <w:rStyle w:val="Lienhypertexte"/>
            <w:b/>
            <w:i/>
          </w:rPr>
          <w:t>Indice des prix à la consommation</w:t>
        </w:r>
      </w:hyperlink>
      <w:r w:rsidRPr="00C271A3">
        <w:rPr>
          <w:b/>
          <w:i/>
        </w:rPr>
        <w:t xml:space="preserve"> - Base 2015 - Glissement annuel</w:t>
      </w:r>
    </w:p>
    <w:p w:rsidR="00C271A3" w:rsidRPr="0058663D" w:rsidRDefault="00C271A3" w:rsidP="00C271A3">
      <w:pPr>
        <w:jc w:val="right"/>
        <w:rPr>
          <w:b/>
        </w:rPr>
      </w:pPr>
    </w:p>
    <w:p w:rsidR="00C271A3" w:rsidRDefault="00C271A3" w:rsidP="00C271A3">
      <w:pPr>
        <w:jc w:val="center"/>
      </w:pPr>
      <w:r w:rsidRPr="007F1BAE">
        <w:rPr>
          <w:noProof/>
          <w:lang w:eastAsia="fr-FR"/>
        </w:rPr>
        <w:drawing>
          <wp:inline distT="0" distB="0" distL="0" distR="0">
            <wp:extent cx="5760720" cy="3765353"/>
            <wp:effectExtent l="19050" t="0" r="11430" b="6547"/>
            <wp:docPr id="2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271A3" w:rsidRPr="00C271A3" w:rsidRDefault="00C271A3" w:rsidP="00C271A3">
      <w:pPr>
        <w:spacing w:after="0" w:line="240" w:lineRule="auto"/>
        <w:jc w:val="right"/>
        <w:rPr>
          <w:b/>
          <w:i/>
        </w:rPr>
      </w:pPr>
      <w:r w:rsidRPr="00C271A3">
        <w:rPr>
          <w:b/>
          <w:i/>
        </w:rPr>
        <w:t xml:space="preserve">INSEE, </w:t>
      </w:r>
      <w:hyperlink r:id="rId26" w:history="1">
        <w:r w:rsidRPr="00C271A3">
          <w:rPr>
            <w:rStyle w:val="Lienhypertexte"/>
            <w:b/>
            <w:i/>
          </w:rPr>
          <w:t>Comptes nationaux annuels</w:t>
        </w:r>
      </w:hyperlink>
      <w:r w:rsidRPr="00C271A3">
        <w:rPr>
          <w:b/>
          <w:i/>
        </w:rPr>
        <w:t xml:space="preserve"> (</w:t>
      </w:r>
      <w:hyperlink r:id="rId27" w:history="1">
        <w:r w:rsidRPr="00C271A3">
          <w:rPr>
            <w:rStyle w:val="Lienhypertexte"/>
            <w:b/>
            <w:i/>
          </w:rPr>
          <w:t>tableau 1.102P</w:t>
        </w:r>
      </w:hyperlink>
      <w:r w:rsidRPr="00C271A3">
        <w:rPr>
          <w:b/>
          <w:i/>
        </w:rPr>
        <w:t>), 29 mai 2019</w:t>
      </w:r>
    </w:p>
    <w:p w:rsidR="00C271A3" w:rsidRPr="00C271A3" w:rsidRDefault="00C202CE" w:rsidP="00C271A3">
      <w:pPr>
        <w:spacing w:after="0" w:line="240" w:lineRule="auto"/>
        <w:jc w:val="right"/>
        <w:rPr>
          <w:b/>
          <w:i/>
        </w:rPr>
      </w:pPr>
      <w:hyperlink r:id="rId28" w:history="1">
        <w:r w:rsidR="00C271A3" w:rsidRPr="00C271A3">
          <w:rPr>
            <w:rStyle w:val="Lienhypertexte"/>
            <w:b/>
            <w:i/>
          </w:rPr>
          <w:t>Base de données de l’OCDE</w:t>
        </w:r>
      </w:hyperlink>
      <w:r w:rsidR="00C271A3" w:rsidRPr="00C271A3">
        <w:rPr>
          <w:b/>
          <w:i/>
        </w:rPr>
        <w:t>, données extraites le 29 mai 2019</w:t>
      </w:r>
    </w:p>
    <w:sectPr w:rsidR="00C271A3" w:rsidRPr="00C271A3" w:rsidSect="00CF1CBD">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84" w:rsidRDefault="00286B84" w:rsidP="0092227D">
      <w:pPr>
        <w:spacing w:after="0" w:line="240" w:lineRule="auto"/>
      </w:pPr>
      <w:r>
        <w:separator/>
      </w:r>
    </w:p>
  </w:endnote>
  <w:endnote w:type="continuationSeparator" w:id="0">
    <w:p w:rsidR="00286B84" w:rsidRDefault="00286B84" w:rsidP="00922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8B2890" w:rsidP="00EB5D8A">
    <w:pPr>
      <w:pStyle w:val="Pieddepage"/>
      <w:jc w:val="right"/>
    </w:pPr>
    <w:r>
      <w:rPr>
        <w:rFonts w:ascii="Times New Roman" w:hAnsi="Times New Roman"/>
      </w:rPr>
      <w:t xml:space="preserve">Page </w:t>
    </w:r>
    <w:r w:rsidR="00C202CE">
      <w:rPr>
        <w:rFonts w:ascii="Times New Roman" w:hAnsi="Times New Roman"/>
      </w:rPr>
      <w:fldChar w:fldCharType="begin"/>
    </w:r>
    <w:r>
      <w:rPr>
        <w:rFonts w:ascii="Times New Roman" w:hAnsi="Times New Roman"/>
      </w:rPr>
      <w:instrText xml:space="preserve"> PAGE </w:instrText>
    </w:r>
    <w:r w:rsidR="00C202CE">
      <w:rPr>
        <w:rFonts w:ascii="Times New Roman" w:hAnsi="Times New Roman"/>
      </w:rPr>
      <w:fldChar w:fldCharType="separate"/>
    </w:r>
    <w:r w:rsidR="00E33331">
      <w:rPr>
        <w:rFonts w:ascii="Times New Roman" w:hAnsi="Times New Roman"/>
        <w:noProof/>
      </w:rPr>
      <w:t>1</w:t>
    </w:r>
    <w:r w:rsidR="00C202CE">
      <w:rPr>
        <w:rFonts w:ascii="Times New Roman" w:hAnsi="Times New Roman"/>
      </w:rPr>
      <w:fldChar w:fldCharType="end"/>
    </w:r>
    <w:r>
      <w:rPr>
        <w:rFonts w:ascii="Times New Roman" w:hAnsi="Times New Roman"/>
      </w:rPr>
      <w:t xml:space="preserve"> sur </w:t>
    </w:r>
    <w:r w:rsidR="00C202CE">
      <w:rPr>
        <w:rFonts w:ascii="Times New Roman" w:hAnsi="Times New Roman"/>
      </w:rPr>
      <w:fldChar w:fldCharType="begin"/>
    </w:r>
    <w:r>
      <w:rPr>
        <w:rFonts w:ascii="Times New Roman" w:hAnsi="Times New Roman"/>
      </w:rPr>
      <w:instrText xml:space="preserve"> NUMPAGES </w:instrText>
    </w:r>
    <w:r w:rsidR="00C202CE">
      <w:rPr>
        <w:rFonts w:ascii="Times New Roman" w:hAnsi="Times New Roman"/>
      </w:rPr>
      <w:fldChar w:fldCharType="separate"/>
    </w:r>
    <w:r w:rsidR="00E33331">
      <w:rPr>
        <w:rFonts w:ascii="Times New Roman" w:hAnsi="Times New Roman"/>
        <w:noProof/>
      </w:rPr>
      <w:t>7</w:t>
    </w:r>
    <w:r w:rsidR="00C202CE">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84" w:rsidRDefault="00286B84" w:rsidP="0092227D">
      <w:pPr>
        <w:spacing w:after="0" w:line="240" w:lineRule="auto"/>
      </w:pPr>
      <w:r>
        <w:separator/>
      </w:r>
    </w:p>
  </w:footnote>
  <w:footnote w:type="continuationSeparator" w:id="0">
    <w:p w:rsidR="00286B84" w:rsidRDefault="00286B84" w:rsidP="00922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8B2890"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Qu’est-ce que la monnaie et comment est-elle créée ?</w:t>
    </w:r>
    <w:r w:rsidRPr="00F85513">
      <w:rPr>
        <w:rFonts w:ascii="Times New Roman" w:hAnsi="Times New Roman"/>
        <w:sz w:val="16"/>
        <w:szCs w:val="16"/>
      </w:rPr>
      <w:t xml:space="preserve"> – </w:t>
    </w:r>
    <w:r>
      <w:rPr>
        <w:rFonts w:ascii="Times New Roman" w:hAnsi="Times New Roman"/>
        <w:sz w:val="16"/>
        <w:szCs w:val="16"/>
      </w:rPr>
      <w:t xml:space="preserve">Les </w:t>
    </w:r>
    <w:r w:rsidR="0092227D">
      <w:rPr>
        <w:rFonts w:ascii="Times New Roman" w:hAnsi="Times New Roman"/>
        <w:sz w:val="16"/>
        <w:szCs w:val="16"/>
      </w:rPr>
      <w:t>effets de la politique monétaire menée par la banque centrale</w:t>
    </w:r>
    <w:r w:rsidRPr="00F85513">
      <w:rPr>
        <w:rFonts w:ascii="Times New Roman" w:hAnsi="Times New Roman"/>
        <w:sz w:val="16"/>
        <w:szCs w:val="16"/>
      </w:rPr>
      <w:t xml:space="preserve"> (</w:t>
    </w:r>
    <w:r w:rsidR="0092227D">
      <w:rPr>
        <w:rFonts w:ascii="Times New Roman" w:hAnsi="Times New Roman"/>
        <w:sz w:val="16"/>
        <w:szCs w:val="16"/>
      </w:rPr>
      <w:t>5</w:t>
    </w:r>
    <w:r w:rsidRPr="00F85513">
      <w:rPr>
        <w:rFonts w:ascii="Times New Roman" w:hAnsi="Times New Roman"/>
        <w:sz w:val="16"/>
        <w:szCs w:val="16"/>
      </w:rPr>
      <w:t>/</w:t>
    </w:r>
    <w:r>
      <w:rPr>
        <w:rFonts w:ascii="Times New Roman" w:hAnsi="Times New Roman"/>
        <w:sz w:val="16"/>
        <w:szCs w:val="16"/>
      </w:rPr>
      <w:t>5</w:t>
    </w:r>
    <w:r w:rsidRPr="00F85513">
      <w:rPr>
        <w:rFonts w:ascii="Times New Roman" w:hAnsi="Times New Roman"/>
        <w:sz w:val="16"/>
        <w:szCs w:val="16"/>
      </w:rPr>
      <w:t xml:space="preserve">) - Page </w:t>
    </w:r>
    <w:r w:rsidR="00C202CE"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00C202CE" w:rsidRPr="00F85513">
      <w:rPr>
        <w:rFonts w:ascii="Times New Roman" w:hAnsi="Times New Roman"/>
        <w:sz w:val="16"/>
        <w:szCs w:val="16"/>
      </w:rPr>
      <w:fldChar w:fldCharType="separate"/>
    </w:r>
    <w:r w:rsidR="00E33331">
      <w:rPr>
        <w:rFonts w:ascii="Times New Roman" w:hAnsi="Times New Roman"/>
        <w:noProof/>
        <w:sz w:val="16"/>
        <w:szCs w:val="16"/>
      </w:rPr>
      <w:t>1</w:t>
    </w:r>
    <w:r w:rsidR="00C202CE" w:rsidRPr="00F85513">
      <w:rPr>
        <w:rFonts w:ascii="Times New Roman" w:hAnsi="Times New Roman"/>
        <w:sz w:val="16"/>
        <w:szCs w:val="16"/>
      </w:rPr>
      <w:fldChar w:fldCharType="end"/>
    </w:r>
    <w:r w:rsidRPr="00F85513">
      <w:rPr>
        <w:rFonts w:ascii="Times New Roman" w:hAnsi="Times New Roman"/>
        <w:sz w:val="16"/>
        <w:szCs w:val="16"/>
      </w:rPr>
      <w:t xml:space="preserve"> sur </w:t>
    </w:r>
    <w:r w:rsidR="00C202CE"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00C202CE" w:rsidRPr="00F85513">
      <w:rPr>
        <w:rFonts w:ascii="Times New Roman" w:hAnsi="Times New Roman"/>
        <w:sz w:val="16"/>
        <w:szCs w:val="16"/>
      </w:rPr>
      <w:fldChar w:fldCharType="separate"/>
    </w:r>
    <w:r w:rsidR="00E33331">
      <w:rPr>
        <w:rFonts w:ascii="Times New Roman" w:hAnsi="Times New Roman"/>
        <w:noProof/>
        <w:sz w:val="16"/>
        <w:szCs w:val="16"/>
      </w:rPr>
      <w:t>7</w:t>
    </w:r>
    <w:r w:rsidR="00C202CE" w:rsidRPr="00F85513">
      <w:rPr>
        <w:rFonts w:ascii="Times New Roman" w:hAnsi="Times New Roman"/>
        <w:sz w:val="16"/>
        <w:szCs w:val="16"/>
      </w:rPr>
      <w:fldChar w:fldCharType="end"/>
    </w:r>
  </w:p>
  <w:p w:rsidR="00AA79FF" w:rsidRDefault="00286B84"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F20"/>
    <w:multiLevelType w:val="hybridMultilevel"/>
    <w:tmpl w:val="2BB89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5B2909"/>
    <w:multiLevelType w:val="hybridMultilevel"/>
    <w:tmpl w:val="DBF275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C836799"/>
    <w:multiLevelType w:val="hybridMultilevel"/>
    <w:tmpl w:val="3E0245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C74131"/>
    <w:multiLevelType w:val="hybridMultilevel"/>
    <w:tmpl w:val="735E7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5E333C"/>
    <w:multiLevelType w:val="hybridMultilevel"/>
    <w:tmpl w:val="A0A680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53D6A66"/>
    <w:multiLevelType w:val="hybridMultilevel"/>
    <w:tmpl w:val="3A2C3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92227D"/>
    <w:rsid w:val="001023E9"/>
    <w:rsid w:val="00286B84"/>
    <w:rsid w:val="00293153"/>
    <w:rsid w:val="004204C5"/>
    <w:rsid w:val="00494E60"/>
    <w:rsid w:val="004C7D77"/>
    <w:rsid w:val="00630632"/>
    <w:rsid w:val="008B2890"/>
    <w:rsid w:val="0090468F"/>
    <w:rsid w:val="0092227D"/>
    <w:rsid w:val="00C202CE"/>
    <w:rsid w:val="00C271A3"/>
    <w:rsid w:val="00DA2B09"/>
    <w:rsid w:val="00E1672B"/>
    <w:rsid w:val="00E33331"/>
    <w:rsid w:val="00F50C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7D"/>
    <w:pPr>
      <w:jc w:val="both"/>
    </w:pPr>
    <w:rPr>
      <w:rFonts w:ascii="Calibri" w:eastAsia="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2227D"/>
    <w:pPr>
      <w:spacing w:after="0" w:line="240" w:lineRule="auto"/>
    </w:pPr>
    <w:rPr>
      <w:rFonts w:ascii="Calibri Light" w:eastAsia="Calibri" w:hAnsi="Calibri Light" w:cs="Times New Roman"/>
      <w:b/>
      <w:noProof/>
      <w:color w:val="000000" w:themeColor="text1"/>
      <w:sz w:val="24"/>
      <w:szCs w:val="24"/>
      <w:lang w:eastAsia="fr-FR"/>
    </w:rPr>
  </w:style>
  <w:style w:type="table" w:styleId="Grilledutableau">
    <w:name w:val="Table Grid"/>
    <w:basedOn w:val="TableauNormal"/>
    <w:uiPriority w:val="59"/>
    <w:rsid w:val="0092227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2227D"/>
    <w:pPr>
      <w:ind w:left="720"/>
      <w:contextualSpacing/>
    </w:pPr>
    <w:rPr>
      <w:rFonts w:ascii="Times New Roman" w:hAnsi="Times New Roman"/>
    </w:rPr>
  </w:style>
  <w:style w:type="character" w:styleId="Lienhypertexte">
    <w:name w:val="Hyperlink"/>
    <w:basedOn w:val="Policepardfaut"/>
    <w:uiPriority w:val="99"/>
    <w:unhideWhenUsed/>
    <w:rsid w:val="0092227D"/>
    <w:rPr>
      <w:color w:val="0000FF" w:themeColor="hyperlink"/>
      <w:u w:val="single"/>
    </w:rPr>
  </w:style>
  <w:style w:type="paragraph" w:styleId="En-tte">
    <w:name w:val="header"/>
    <w:basedOn w:val="Normal"/>
    <w:link w:val="En-tteCar"/>
    <w:uiPriority w:val="99"/>
    <w:unhideWhenUsed/>
    <w:rsid w:val="0092227D"/>
    <w:pPr>
      <w:tabs>
        <w:tab w:val="center" w:pos="4536"/>
        <w:tab w:val="right" w:pos="9072"/>
      </w:tabs>
      <w:spacing w:after="0" w:line="240" w:lineRule="auto"/>
    </w:pPr>
  </w:style>
  <w:style w:type="character" w:customStyle="1" w:styleId="En-tteCar">
    <w:name w:val="En-tête Car"/>
    <w:basedOn w:val="Policepardfaut"/>
    <w:link w:val="En-tte"/>
    <w:uiPriority w:val="99"/>
    <w:rsid w:val="0092227D"/>
    <w:rPr>
      <w:rFonts w:ascii="Calibri" w:eastAsia="Calibri" w:hAnsi="Calibri" w:cs="Times New Roman"/>
      <w:sz w:val="20"/>
    </w:rPr>
  </w:style>
  <w:style w:type="paragraph" w:styleId="Pieddepage">
    <w:name w:val="footer"/>
    <w:basedOn w:val="Normal"/>
    <w:link w:val="PieddepageCar"/>
    <w:uiPriority w:val="99"/>
    <w:unhideWhenUsed/>
    <w:rsid w:val="009222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227D"/>
    <w:rPr>
      <w:rFonts w:ascii="Calibri" w:eastAsia="Calibri" w:hAnsi="Calibri" w:cs="Times New Roman"/>
      <w:sz w:val="20"/>
    </w:rPr>
  </w:style>
  <w:style w:type="paragraph" w:styleId="Textedebulles">
    <w:name w:val="Balloon Text"/>
    <w:basedOn w:val="Normal"/>
    <w:link w:val="TextedebullesCar"/>
    <w:uiPriority w:val="99"/>
    <w:semiHidden/>
    <w:unhideWhenUsed/>
    <w:rsid w:val="009222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227D"/>
    <w:rPr>
      <w:rFonts w:ascii="Tahoma" w:eastAsia="Calibri" w:hAnsi="Tahoma" w:cs="Tahoma"/>
      <w:sz w:val="16"/>
      <w:szCs w:val="16"/>
    </w:rPr>
  </w:style>
  <w:style w:type="character" w:customStyle="1" w:styleId="metaauthor">
    <w:name w:val="meta__author"/>
    <w:basedOn w:val="Policepardfaut"/>
    <w:rsid w:val="00C271A3"/>
  </w:style>
  <w:style w:type="character" w:customStyle="1" w:styleId="metadate">
    <w:name w:val="meta__date"/>
    <w:basedOn w:val="Policepardfaut"/>
    <w:rsid w:val="00C271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financepourtous.com/decryptages/marches-financiers/acteurs-de-la-finance/federal-reserve-system-fed/" TargetMode="External"/><Relationship Id="rId13" Type="http://schemas.openxmlformats.org/officeDocument/2006/relationships/hyperlink" Target="http://webstat.banque-france.fr/fr/browseBox.do?node=5385563&amp;sortByView1=7&amp;SERIES_KEY=FM.M.U2.EUR.4F.KR.MRR_FR.LEV&amp;SERIES_KEY=FM.M.U2.EUR.4F.KR.DF.LEV&amp;SERIES_KEY=FM.M.U2.EUR.4F.KR.MLF.LEV" TargetMode="External"/><Relationship Id="rId18" Type="http://schemas.openxmlformats.org/officeDocument/2006/relationships/hyperlink" Target="https://www.bankofengland.co.uk/monetary-policy/the-interest-rate-bank-rate" TargetMode="External"/><Relationship Id="rId26" Type="http://schemas.openxmlformats.org/officeDocument/2006/relationships/hyperlink" Target="https://www.insee.fr/fr/statistiques/4131360?sommaire=4131436" TargetMode="External"/><Relationship Id="rId3" Type="http://schemas.openxmlformats.org/officeDocument/2006/relationships/settings" Target="settings.xml"/><Relationship Id="rId21" Type="http://schemas.openxmlformats.org/officeDocument/2006/relationships/hyperlink" Target="https://www.lafinancepourtous.com/decryptages/marches-financiers/acteurs-de-la-finance/banque-centrale-europeenne/levolution-du-role-de-la-banque-centrale-europeenne/" TargetMode="External"/><Relationship Id="rId7" Type="http://schemas.openxmlformats.org/officeDocument/2006/relationships/hyperlink" Target="https://www.ecb.europa.eu/ecb/tasks/html/index.fr.html" TargetMode="External"/><Relationship Id="rId12" Type="http://schemas.openxmlformats.org/officeDocument/2006/relationships/chart" Target="charts/chart1.xml"/><Relationship Id="rId17" Type="http://schemas.openxmlformats.org/officeDocument/2006/relationships/hyperlink" Target="https://www.boj.or.jp/en/mopo/mpmdeci/state_all/index.htm/" TargetMode="External"/><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yperlink" Target="http://sdw.ecb.europa.eu/quickview.do?SERIES_KEY=143.FM.B.U2.EUR.4F.KR.MRR_FR.LEV"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activ.fr/section/euro-finances/news/la-bce-releve-ses-taux-directeurs-pour-lutter-contre-l-inflation/" TargetMode="External"/><Relationship Id="rId24" Type="http://schemas.openxmlformats.org/officeDocument/2006/relationships/hyperlink" Target="https://www.insee.fr/fr/statistiques/serie/001761313"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monde.fr/economie/article/2019/03/16/le-casse-tete-des-banques-centrales-face-au-ralentissement-de-la-croissance_5437012_3234.html" TargetMode="External"/><Relationship Id="rId23" Type="http://schemas.openxmlformats.org/officeDocument/2006/relationships/hyperlink" Target="http://webstat.banque-france.fr/fr/browseBox.do?node=5385563&amp;sortByView1=7&amp;SERIES_KEY=FM.M.U2.EUR.4F.KR.MRR_FR.LEV&amp;SERIES_KEY=FM.M.U2.EUR.4F.KR.DF.LEV&amp;SERIES_KEY=FM.M.U2.EUR.4F.KR.MLF.LEV" TargetMode="External"/><Relationship Id="rId28" Type="http://schemas.openxmlformats.org/officeDocument/2006/relationships/hyperlink" Target="https://stats.oecd.org/Index.aspx?lang=fr" TargetMode="External"/><Relationship Id="rId10" Type="http://schemas.openxmlformats.org/officeDocument/2006/relationships/hyperlink" Target="https://www.mataf.net/fr/eco/edu/guide-economie/banquedangleterre" TargetMode="External"/><Relationship Id="rId19" Type="http://schemas.openxmlformats.org/officeDocument/2006/relationships/hyperlink" Target="https://www.federalreserve.gov/monetarypolicy/openmarket.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taf.net/fr/eco/edu/guide-economie/banquecentraledujapon" TargetMode="External"/><Relationship Id="rId14" Type="http://schemas.openxmlformats.org/officeDocument/2006/relationships/hyperlink" Target="https://stats.oecd.org/Index.aspx?lang=fr" TargetMode="External"/><Relationship Id="rId22" Type="http://schemas.openxmlformats.org/officeDocument/2006/relationships/chart" Target="charts/chart3.xml"/><Relationship Id="rId27" Type="http://schemas.openxmlformats.org/officeDocument/2006/relationships/hyperlink" Target="https://www.insee.fr/fr/statistiques/fichier/4131360/t_1102p.xls"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premiere\chapitre_05\taux_directeurs.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Site_Aca\prgs_2019\cours_inverse\premiere\chapitre_05\Tx_dir_4_banques_centra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runo\Site_Aca\prgs_2019\cours_inverse\premiere\chapitre_05\ipc_france_tx_dir_b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STER\Documents\croissance_cho_fr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2635940985192728E-2"/>
          <c:y val="2.319064163976892E-2"/>
          <c:w val="0.9567155948509849"/>
          <c:h val="0.88059719166957962"/>
        </c:manualLayout>
      </c:layout>
      <c:lineChart>
        <c:grouping val="standard"/>
        <c:ser>
          <c:idx val="0"/>
          <c:order val="0"/>
          <c:tx>
            <c:strRef>
              <c:f>'Webstat_Export_20190520-1'!$E$7</c:f>
              <c:strCache>
                <c:ptCount val="1"/>
                <c:pt idx="0">
                  <c:v>Taux de refinancement</c:v>
                </c:pt>
              </c:strCache>
            </c:strRef>
          </c:tx>
          <c:spPr>
            <a:ln>
              <a:solidFill>
                <a:schemeClr val="tx1"/>
              </a:solidFill>
            </a:ln>
          </c:spPr>
          <c:marker>
            <c:symbol val="none"/>
          </c:marker>
          <c:cat>
            <c:numRef>
              <c:f>'Webstat_Export_20190520-1'!$B$8:$B$251</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'Webstat_Export_20190520-1'!$E$8:$E$251</c:f>
              <c:numCache>
                <c:formatCode>General</c:formatCode>
                <c:ptCount val="244"/>
                <c:pt idx="0">
                  <c:v>3</c:v>
                </c:pt>
                <c:pt idx="1">
                  <c:v>3</c:v>
                </c:pt>
                <c:pt idx="2">
                  <c:v>3</c:v>
                </c:pt>
                <c:pt idx="3">
                  <c:v>2.5</c:v>
                </c:pt>
                <c:pt idx="4">
                  <c:v>2.5</c:v>
                </c:pt>
                <c:pt idx="5">
                  <c:v>2.5</c:v>
                </c:pt>
                <c:pt idx="6">
                  <c:v>2.5</c:v>
                </c:pt>
                <c:pt idx="7">
                  <c:v>2.5</c:v>
                </c:pt>
                <c:pt idx="8">
                  <c:v>2.5</c:v>
                </c:pt>
                <c:pt idx="9">
                  <c:v>2.5</c:v>
                </c:pt>
                <c:pt idx="10">
                  <c:v>3</c:v>
                </c:pt>
                <c:pt idx="11">
                  <c:v>3</c:v>
                </c:pt>
                <c:pt idx="12">
                  <c:v>3</c:v>
                </c:pt>
                <c:pt idx="13">
                  <c:v>3.25</c:v>
                </c:pt>
                <c:pt idx="14">
                  <c:v>3.5</c:v>
                </c:pt>
                <c:pt idx="15">
                  <c:v>3.75</c:v>
                </c:pt>
                <c:pt idx="16">
                  <c:v>3.75</c:v>
                </c:pt>
                <c:pt idx="17">
                  <c:v>4.25</c:v>
                </c:pt>
                <c:pt idx="18">
                  <c:v>4.25</c:v>
                </c:pt>
                <c:pt idx="19">
                  <c:v>4.25</c:v>
                </c:pt>
                <c:pt idx="20">
                  <c:v>4.25</c:v>
                </c:pt>
                <c:pt idx="21">
                  <c:v>4.25</c:v>
                </c:pt>
                <c:pt idx="22">
                  <c:v>4.25</c:v>
                </c:pt>
                <c:pt idx="23">
                  <c:v>4.25</c:v>
                </c:pt>
                <c:pt idx="24">
                  <c:v>4.25</c:v>
                </c:pt>
                <c:pt idx="25">
                  <c:v>4.25</c:v>
                </c:pt>
                <c:pt idx="26">
                  <c:v>4.25</c:v>
                </c:pt>
                <c:pt idx="27">
                  <c:v>4.25</c:v>
                </c:pt>
                <c:pt idx="28">
                  <c:v>4.25</c:v>
                </c:pt>
                <c:pt idx="29">
                  <c:v>4.25</c:v>
                </c:pt>
                <c:pt idx="30">
                  <c:v>4.25</c:v>
                </c:pt>
                <c:pt idx="31">
                  <c:v>4.25</c:v>
                </c:pt>
                <c:pt idx="32">
                  <c:v>4.25</c:v>
                </c:pt>
                <c:pt idx="33">
                  <c:v>4.25</c:v>
                </c:pt>
                <c:pt idx="34">
                  <c:v>4.25</c:v>
                </c:pt>
                <c:pt idx="35">
                  <c:v>4.25</c:v>
                </c:pt>
                <c:pt idx="36">
                  <c:v>4.25</c:v>
                </c:pt>
                <c:pt idx="37">
                  <c:v>4.25</c:v>
                </c:pt>
                <c:pt idx="38">
                  <c:v>4.25</c:v>
                </c:pt>
                <c:pt idx="39">
                  <c:v>4.25</c:v>
                </c:pt>
                <c:pt idx="40">
                  <c:v>4.25</c:v>
                </c:pt>
                <c:pt idx="41">
                  <c:v>4.25</c:v>
                </c:pt>
                <c:pt idx="42">
                  <c:v>4.25</c:v>
                </c:pt>
                <c:pt idx="43">
                  <c:v>4.25</c:v>
                </c:pt>
                <c:pt idx="44">
                  <c:v>4.25</c:v>
                </c:pt>
                <c:pt idx="45">
                  <c:v>4.25</c:v>
                </c:pt>
                <c:pt idx="46">
                  <c:v>4.25</c:v>
                </c:pt>
                <c:pt idx="47">
                  <c:v>4.25</c:v>
                </c:pt>
                <c:pt idx="48">
                  <c:v>4.25</c:v>
                </c:pt>
                <c:pt idx="49">
                  <c:v>4.25</c:v>
                </c:pt>
                <c:pt idx="50">
                  <c:v>4.25</c:v>
                </c:pt>
                <c:pt idx="51">
                  <c:v>4.25</c:v>
                </c:pt>
                <c:pt idx="52">
                  <c:v>4.25</c:v>
                </c:pt>
                <c:pt idx="53">
                  <c:v>4.25</c:v>
                </c:pt>
                <c:pt idx="54">
                  <c:v>4.25</c:v>
                </c:pt>
                <c:pt idx="55">
                  <c:v>4.25</c:v>
                </c:pt>
                <c:pt idx="56">
                  <c:v>4.25</c:v>
                </c:pt>
                <c:pt idx="57">
                  <c:v>4.25</c:v>
                </c:pt>
                <c:pt idx="58">
                  <c:v>4.25</c:v>
                </c:pt>
                <c:pt idx="59">
                  <c:v>4.25</c:v>
                </c:pt>
                <c:pt idx="60">
                  <c:v>4.25</c:v>
                </c:pt>
                <c:pt idx="61">
                  <c:v>4.25</c:v>
                </c:pt>
                <c:pt idx="62">
                  <c:v>4.25</c:v>
                </c:pt>
                <c:pt idx="63">
                  <c:v>4.25</c:v>
                </c:pt>
                <c:pt idx="64">
                  <c:v>4.25</c:v>
                </c:pt>
                <c:pt idx="65">
                  <c:v>4.25</c:v>
                </c:pt>
                <c:pt idx="66">
                  <c:v>4.25</c:v>
                </c:pt>
                <c:pt idx="67">
                  <c:v>4.25</c:v>
                </c:pt>
                <c:pt idx="68">
                  <c:v>4.25</c:v>
                </c:pt>
                <c:pt idx="69">
                  <c:v>4.25</c:v>
                </c:pt>
                <c:pt idx="70">
                  <c:v>4.25</c:v>
                </c:pt>
                <c:pt idx="71">
                  <c:v>4.25</c:v>
                </c:pt>
                <c:pt idx="72">
                  <c:v>4.25</c:v>
                </c:pt>
                <c:pt idx="73">
                  <c:v>4.25</c:v>
                </c:pt>
                <c:pt idx="74">
                  <c:v>4.25</c:v>
                </c:pt>
                <c:pt idx="75">
                  <c:v>4.25</c:v>
                </c:pt>
                <c:pt idx="76">
                  <c:v>4.25</c:v>
                </c:pt>
                <c:pt idx="77">
                  <c:v>4.25</c:v>
                </c:pt>
                <c:pt idx="78">
                  <c:v>4.25</c:v>
                </c:pt>
                <c:pt idx="79">
                  <c:v>4.25</c:v>
                </c:pt>
                <c:pt idx="80">
                  <c:v>4.25</c:v>
                </c:pt>
                <c:pt idx="81">
                  <c:v>4.25</c:v>
                </c:pt>
                <c:pt idx="82">
                  <c:v>4.25</c:v>
                </c:pt>
                <c:pt idx="83">
                  <c:v>4.25</c:v>
                </c:pt>
                <c:pt idx="84">
                  <c:v>4.25</c:v>
                </c:pt>
                <c:pt idx="85">
                  <c:v>4.25</c:v>
                </c:pt>
                <c:pt idx="86">
                  <c:v>4.25</c:v>
                </c:pt>
                <c:pt idx="87">
                  <c:v>4.25</c:v>
                </c:pt>
                <c:pt idx="88">
                  <c:v>4.25</c:v>
                </c:pt>
                <c:pt idx="89">
                  <c:v>4.25</c:v>
                </c:pt>
                <c:pt idx="90">
                  <c:v>4.25</c:v>
                </c:pt>
                <c:pt idx="91">
                  <c:v>4.25</c:v>
                </c:pt>
                <c:pt idx="92">
                  <c:v>4.25</c:v>
                </c:pt>
                <c:pt idx="93">
                  <c:v>4.25</c:v>
                </c:pt>
                <c:pt idx="94">
                  <c:v>4.25</c:v>
                </c:pt>
                <c:pt idx="95">
                  <c:v>4.25</c:v>
                </c:pt>
                <c:pt idx="96">
                  <c:v>4.25</c:v>
                </c:pt>
                <c:pt idx="97">
                  <c:v>4.25</c:v>
                </c:pt>
                <c:pt idx="98">
                  <c:v>4.25</c:v>
                </c:pt>
                <c:pt idx="99">
                  <c:v>4.25</c:v>
                </c:pt>
                <c:pt idx="100">
                  <c:v>4.25</c:v>
                </c:pt>
                <c:pt idx="101">
                  <c:v>4.25</c:v>
                </c:pt>
                <c:pt idx="102">
                  <c:v>4.25</c:v>
                </c:pt>
                <c:pt idx="103">
                  <c:v>4.25</c:v>
                </c:pt>
                <c:pt idx="104">
                  <c:v>4.25</c:v>
                </c:pt>
                <c:pt idx="105">
                  <c:v>4.25</c:v>
                </c:pt>
                <c:pt idx="106">
                  <c:v>4.25</c:v>
                </c:pt>
                <c:pt idx="107">
                  <c:v>4.25</c:v>
                </c:pt>
                <c:pt idx="108">
                  <c:v>4.25</c:v>
                </c:pt>
                <c:pt idx="109">
                  <c:v>4.25</c:v>
                </c:pt>
                <c:pt idx="110">
                  <c:v>4.25</c:v>
                </c:pt>
                <c:pt idx="111">
                  <c:v>4.25</c:v>
                </c:pt>
                <c:pt idx="112">
                  <c:v>4.25</c:v>
                </c:pt>
                <c:pt idx="113">
                  <c:v>4.25</c:v>
                </c:pt>
                <c:pt idx="114">
                  <c:v>4.25</c:v>
                </c:pt>
                <c:pt idx="115">
                  <c:v>4.25</c:v>
                </c:pt>
                <c:pt idx="116">
                  <c:v>4.25</c:v>
                </c:pt>
                <c:pt idx="117">
                  <c:v>3.75</c:v>
                </c:pt>
                <c:pt idx="118">
                  <c:v>3.25</c:v>
                </c:pt>
                <c:pt idx="119">
                  <c:v>2.5</c:v>
                </c:pt>
                <c:pt idx="120">
                  <c:v>2</c:v>
                </c:pt>
                <c:pt idx="121">
                  <c:v>2</c:v>
                </c:pt>
                <c:pt idx="122">
                  <c:v>1.5</c:v>
                </c:pt>
                <c:pt idx="123">
                  <c:v>1.25</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1.25</c:v>
                </c:pt>
                <c:pt idx="148">
                  <c:v>1.25</c:v>
                </c:pt>
                <c:pt idx="149">
                  <c:v>1.25</c:v>
                </c:pt>
                <c:pt idx="150">
                  <c:v>1.5</c:v>
                </c:pt>
                <c:pt idx="151">
                  <c:v>1.5</c:v>
                </c:pt>
                <c:pt idx="152">
                  <c:v>1.5</c:v>
                </c:pt>
                <c:pt idx="153">
                  <c:v>1.5</c:v>
                </c:pt>
                <c:pt idx="154">
                  <c:v>1.25</c:v>
                </c:pt>
                <c:pt idx="155">
                  <c:v>1</c:v>
                </c:pt>
                <c:pt idx="156">
                  <c:v>1</c:v>
                </c:pt>
                <c:pt idx="157">
                  <c:v>1</c:v>
                </c:pt>
                <c:pt idx="158">
                  <c:v>1</c:v>
                </c:pt>
                <c:pt idx="159">
                  <c:v>1</c:v>
                </c:pt>
                <c:pt idx="160">
                  <c:v>1</c:v>
                </c:pt>
                <c:pt idx="161">
                  <c:v>1</c:v>
                </c:pt>
                <c:pt idx="162">
                  <c:v>0.75000000000000133</c:v>
                </c:pt>
                <c:pt idx="163">
                  <c:v>0.75000000000000133</c:v>
                </c:pt>
                <c:pt idx="164">
                  <c:v>0.75000000000000133</c:v>
                </c:pt>
                <c:pt idx="165">
                  <c:v>0.75000000000000133</c:v>
                </c:pt>
                <c:pt idx="166">
                  <c:v>0.75000000000000133</c:v>
                </c:pt>
                <c:pt idx="167">
                  <c:v>0.75000000000000133</c:v>
                </c:pt>
                <c:pt idx="168">
                  <c:v>0.75000000000000133</c:v>
                </c:pt>
                <c:pt idx="169">
                  <c:v>0.75000000000000133</c:v>
                </c:pt>
                <c:pt idx="170">
                  <c:v>0.75000000000000133</c:v>
                </c:pt>
                <c:pt idx="171">
                  <c:v>0.75000000000000133</c:v>
                </c:pt>
                <c:pt idx="172">
                  <c:v>0.5</c:v>
                </c:pt>
                <c:pt idx="173">
                  <c:v>0.5</c:v>
                </c:pt>
                <c:pt idx="174">
                  <c:v>0.5</c:v>
                </c:pt>
                <c:pt idx="175">
                  <c:v>0.5</c:v>
                </c:pt>
                <c:pt idx="176">
                  <c:v>0.5</c:v>
                </c:pt>
                <c:pt idx="177">
                  <c:v>0.5</c:v>
                </c:pt>
                <c:pt idx="178">
                  <c:v>0.25</c:v>
                </c:pt>
                <c:pt idx="179">
                  <c:v>0.25</c:v>
                </c:pt>
                <c:pt idx="180">
                  <c:v>0.25</c:v>
                </c:pt>
                <c:pt idx="181">
                  <c:v>0.25</c:v>
                </c:pt>
                <c:pt idx="182">
                  <c:v>0.25</c:v>
                </c:pt>
                <c:pt idx="183">
                  <c:v>0.25</c:v>
                </c:pt>
                <c:pt idx="184">
                  <c:v>0.25</c:v>
                </c:pt>
                <c:pt idx="185">
                  <c:v>0.15000000000000024</c:v>
                </c:pt>
                <c:pt idx="186">
                  <c:v>0.15000000000000024</c:v>
                </c:pt>
                <c:pt idx="187">
                  <c:v>0.15000000000000024</c:v>
                </c:pt>
                <c:pt idx="188">
                  <c:v>0.05</c:v>
                </c:pt>
                <c:pt idx="189">
                  <c:v>0.05</c:v>
                </c:pt>
                <c:pt idx="190">
                  <c:v>0.05</c:v>
                </c:pt>
                <c:pt idx="191">
                  <c:v>0.05</c:v>
                </c:pt>
                <c:pt idx="192">
                  <c:v>0.05</c:v>
                </c:pt>
                <c:pt idx="193">
                  <c:v>0.05</c:v>
                </c:pt>
                <c:pt idx="194">
                  <c:v>0.05</c:v>
                </c:pt>
                <c:pt idx="195">
                  <c:v>0.05</c:v>
                </c:pt>
                <c:pt idx="196">
                  <c:v>0.05</c:v>
                </c:pt>
                <c:pt idx="197">
                  <c:v>0.05</c:v>
                </c:pt>
                <c:pt idx="198">
                  <c:v>0.05</c:v>
                </c:pt>
                <c:pt idx="199">
                  <c:v>0.05</c:v>
                </c:pt>
                <c:pt idx="200">
                  <c:v>0.05</c:v>
                </c:pt>
                <c:pt idx="201">
                  <c:v>0.05</c:v>
                </c:pt>
                <c:pt idx="202">
                  <c:v>0.05</c:v>
                </c:pt>
                <c:pt idx="203">
                  <c:v>0.05</c:v>
                </c:pt>
                <c:pt idx="204">
                  <c:v>0.05</c:v>
                </c:pt>
                <c:pt idx="205">
                  <c:v>0.05</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numCache>
            </c:numRef>
          </c:val>
        </c:ser>
        <c:ser>
          <c:idx val="1"/>
          <c:order val="1"/>
          <c:tx>
            <c:strRef>
              <c:f>'Webstat_Export_20190520-1'!$G$7</c:f>
              <c:strCache>
                <c:ptCount val="1"/>
                <c:pt idx="0">
                  <c:v>taux d'inflation en glissement annuel</c:v>
                </c:pt>
              </c:strCache>
            </c:strRef>
          </c:tx>
          <c:spPr>
            <a:ln>
              <a:solidFill>
                <a:schemeClr val="bg1">
                  <a:lumMod val="75000"/>
                </a:schemeClr>
              </a:solidFill>
            </a:ln>
          </c:spPr>
          <c:marker>
            <c:symbol val="none"/>
          </c:marker>
          <c:cat>
            <c:numRef>
              <c:f>'Webstat_Export_20190520-1'!$B$8:$B$251</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'Webstat_Export_20190520-1'!$G$8:$G$251</c:f>
              <c:numCache>
                <c:formatCode>#,##0.0_ ;\-#,##0.0\ </c:formatCode>
                <c:ptCount val="244"/>
                <c:pt idx="0">
                  <c:v>0.9</c:v>
                </c:pt>
                <c:pt idx="1">
                  <c:v>0.8</c:v>
                </c:pt>
                <c:pt idx="2">
                  <c:v>1</c:v>
                </c:pt>
                <c:pt idx="3">
                  <c:v>1.1000000000000001</c:v>
                </c:pt>
                <c:pt idx="4">
                  <c:v>1</c:v>
                </c:pt>
                <c:pt idx="5">
                  <c:v>0.9</c:v>
                </c:pt>
                <c:pt idx="6">
                  <c:v>1.1000000000000001</c:v>
                </c:pt>
                <c:pt idx="7">
                  <c:v>1.2</c:v>
                </c:pt>
                <c:pt idx="8">
                  <c:v>1.3</c:v>
                </c:pt>
                <c:pt idx="9">
                  <c:v>1.4</c:v>
                </c:pt>
                <c:pt idx="10">
                  <c:v>1.5</c:v>
                </c:pt>
                <c:pt idx="11">
                  <c:v>1.8</c:v>
                </c:pt>
                <c:pt idx="12">
                  <c:v>1.9000000000000001</c:v>
                </c:pt>
                <c:pt idx="13">
                  <c:v>2</c:v>
                </c:pt>
                <c:pt idx="14">
                  <c:v>2.1</c:v>
                </c:pt>
                <c:pt idx="15">
                  <c:v>1.8</c:v>
                </c:pt>
                <c:pt idx="16">
                  <c:v>1.9000000000000001</c:v>
                </c:pt>
                <c:pt idx="17">
                  <c:v>2.2000000000000002</c:v>
                </c:pt>
                <c:pt idx="18">
                  <c:v>2.2000000000000002</c:v>
                </c:pt>
                <c:pt idx="19">
                  <c:v>2.1</c:v>
                </c:pt>
                <c:pt idx="20">
                  <c:v>2.5</c:v>
                </c:pt>
                <c:pt idx="21">
                  <c:v>2.5</c:v>
                </c:pt>
                <c:pt idx="22">
                  <c:v>2.5</c:v>
                </c:pt>
                <c:pt idx="23">
                  <c:v>2.6</c:v>
                </c:pt>
                <c:pt idx="24">
                  <c:v>2.1</c:v>
                </c:pt>
                <c:pt idx="25">
                  <c:v>2.1</c:v>
                </c:pt>
                <c:pt idx="26">
                  <c:v>2.2999999999999998</c:v>
                </c:pt>
                <c:pt idx="27">
                  <c:v>2.8</c:v>
                </c:pt>
                <c:pt idx="28">
                  <c:v>3.1</c:v>
                </c:pt>
                <c:pt idx="29">
                  <c:v>2.9</c:v>
                </c:pt>
                <c:pt idx="30">
                  <c:v>2.6</c:v>
                </c:pt>
                <c:pt idx="31">
                  <c:v>2.4</c:v>
                </c:pt>
                <c:pt idx="32">
                  <c:v>2.2999999999999998</c:v>
                </c:pt>
                <c:pt idx="33">
                  <c:v>2.2999999999999998</c:v>
                </c:pt>
                <c:pt idx="34">
                  <c:v>2</c:v>
                </c:pt>
                <c:pt idx="35">
                  <c:v>2.1</c:v>
                </c:pt>
                <c:pt idx="36">
                  <c:v>2.6</c:v>
                </c:pt>
                <c:pt idx="37">
                  <c:v>2.5</c:v>
                </c:pt>
                <c:pt idx="38">
                  <c:v>2.5</c:v>
                </c:pt>
                <c:pt idx="39">
                  <c:v>2.4</c:v>
                </c:pt>
                <c:pt idx="40">
                  <c:v>2.1</c:v>
                </c:pt>
                <c:pt idx="41">
                  <c:v>1.9000000000000001</c:v>
                </c:pt>
                <c:pt idx="42">
                  <c:v>2</c:v>
                </c:pt>
                <c:pt idx="43">
                  <c:v>2.2000000000000002</c:v>
                </c:pt>
                <c:pt idx="44">
                  <c:v>2.1</c:v>
                </c:pt>
                <c:pt idx="45">
                  <c:v>2.2999999999999998</c:v>
                </c:pt>
                <c:pt idx="46">
                  <c:v>2.2999999999999998</c:v>
                </c:pt>
                <c:pt idx="47">
                  <c:v>2.2999999999999998</c:v>
                </c:pt>
                <c:pt idx="48">
                  <c:v>2.2000000000000002</c:v>
                </c:pt>
                <c:pt idx="49">
                  <c:v>2.4</c:v>
                </c:pt>
                <c:pt idx="50">
                  <c:v>2.4</c:v>
                </c:pt>
                <c:pt idx="51">
                  <c:v>2.1</c:v>
                </c:pt>
                <c:pt idx="52">
                  <c:v>1.9000000000000001</c:v>
                </c:pt>
                <c:pt idx="53">
                  <c:v>2</c:v>
                </c:pt>
                <c:pt idx="54">
                  <c:v>2</c:v>
                </c:pt>
                <c:pt idx="55">
                  <c:v>2.1</c:v>
                </c:pt>
                <c:pt idx="56">
                  <c:v>2.2000000000000002</c:v>
                </c:pt>
                <c:pt idx="57">
                  <c:v>2.1</c:v>
                </c:pt>
                <c:pt idx="58">
                  <c:v>2.2000000000000002</c:v>
                </c:pt>
                <c:pt idx="59">
                  <c:v>2</c:v>
                </c:pt>
                <c:pt idx="60">
                  <c:v>1.8</c:v>
                </c:pt>
                <c:pt idx="61">
                  <c:v>1.7</c:v>
                </c:pt>
                <c:pt idx="62">
                  <c:v>1.7</c:v>
                </c:pt>
                <c:pt idx="63">
                  <c:v>2.1</c:v>
                </c:pt>
                <c:pt idx="64">
                  <c:v>2.5</c:v>
                </c:pt>
                <c:pt idx="65">
                  <c:v>2.4</c:v>
                </c:pt>
                <c:pt idx="66">
                  <c:v>2.2999999999999998</c:v>
                </c:pt>
                <c:pt idx="67">
                  <c:v>2.4</c:v>
                </c:pt>
                <c:pt idx="68">
                  <c:v>2.2000000000000002</c:v>
                </c:pt>
                <c:pt idx="69">
                  <c:v>2.4</c:v>
                </c:pt>
                <c:pt idx="70">
                  <c:v>2.2999999999999998</c:v>
                </c:pt>
                <c:pt idx="71">
                  <c:v>2.4</c:v>
                </c:pt>
                <c:pt idx="72">
                  <c:v>1.9000000000000001</c:v>
                </c:pt>
                <c:pt idx="73">
                  <c:v>2.1</c:v>
                </c:pt>
                <c:pt idx="74">
                  <c:v>2.2000000000000002</c:v>
                </c:pt>
                <c:pt idx="75">
                  <c:v>2.1</c:v>
                </c:pt>
                <c:pt idx="76">
                  <c:v>2</c:v>
                </c:pt>
                <c:pt idx="77">
                  <c:v>2</c:v>
                </c:pt>
                <c:pt idx="78">
                  <c:v>2.1</c:v>
                </c:pt>
                <c:pt idx="79">
                  <c:v>2.2000000000000002</c:v>
                </c:pt>
                <c:pt idx="80">
                  <c:v>2.6</c:v>
                </c:pt>
                <c:pt idx="81">
                  <c:v>2.5</c:v>
                </c:pt>
                <c:pt idx="82">
                  <c:v>2.2999999999999998</c:v>
                </c:pt>
                <c:pt idx="83">
                  <c:v>2.2999999999999998</c:v>
                </c:pt>
                <c:pt idx="84">
                  <c:v>2.5</c:v>
                </c:pt>
                <c:pt idx="85">
                  <c:v>2.4</c:v>
                </c:pt>
                <c:pt idx="86">
                  <c:v>2.2000000000000002</c:v>
                </c:pt>
                <c:pt idx="87">
                  <c:v>2.5</c:v>
                </c:pt>
                <c:pt idx="88">
                  <c:v>2.5</c:v>
                </c:pt>
                <c:pt idx="89">
                  <c:v>2.5</c:v>
                </c:pt>
                <c:pt idx="90">
                  <c:v>2.5</c:v>
                </c:pt>
                <c:pt idx="91">
                  <c:v>2.2999999999999998</c:v>
                </c:pt>
                <c:pt idx="92">
                  <c:v>1.8</c:v>
                </c:pt>
                <c:pt idx="93">
                  <c:v>1.6</c:v>
                </c:pt>
                <c:pt idx="94">
                  <c:v>1.9000000000000001</c:v>
                </c:pt>
                <c:pt idx="95">
                  <c:v>1.9000000000000001</c:v>
                </c:pt>
                <c:pt idx="96">
                  <c:v>1.9000000000000001</c:v>
                </c:pt>
                <c:pt idx="97">
                  <c:v>1.9000000000000001</c:v>
                </c:pt>
                <c:pt idx="98">
                  <c:v>2</c:v>
                </c:pt>
                <c:pt idx="99">
                  <c:v>1.9000000000000001</c:v>
                </c:pt>
                <c:pt idx="100">
                  <c:v>1.9000000000000001</c:v>
                </c:pt>
                <c:pt idx="101">
                  <c:v>1.9000000000000001</c:v>
                </c:pt>
                <c:pt idx="102">
                  <c:v>1.8</c:v>
                </c:pt>
                <c:pt idx="103">
                  <c:v>1.8</c:v>
                </c:pt>
                <c:pt idx="104">
                  <c:v>2.2000000000000002</c:v>
                </c:pt>
                <c:pt idx="105">
                  <c:v>2.6</c:v>
                </c:pt>
                <c:pt idx="106">
                  <c:v>3.1</c:v>
                </c:pt>
                <c:pt idx="107">
                  <c:v>3.1</c:v>
                </c:pt>
                <c:pt idx="108">
                  <c:v>3.3</c:v>
                </c:pt>
                <c:pt idx="109">
                  <c:v>3.3</c:v>
                </c:pt>
                <c:pt idx="110">
                  <c:v>3.7</c:v>
                </c:pt>
                <c:pt idx="111">
                  <c:v>3.3</c:v>
                </c:pt>
                <c:pt idx="112">
                  <c:v>3.7</c:v>
                </c:pt>
                <c:pt idx="113">
                  <c:v>4</c:v>
                </c:pt>
                <c:pt idx="114">
                  <c:v>4.0999999999999996</c:v>
                </c:pt>
                <c:pt idx="115">
                  <c:v>3.9</c:v>
                </c:pt>
                <c:pt idx="116">
                  <c:v>3.7</c:v>
                </c:pt>
                <c:pt idx="117">
                  <c:v>3.2</c:v>
                </c:pt>
                <c:pt idx="118">
                  <c:v>2.2000000000000002</c:v>
                </c:pt>
                <c:pt idx="119">
                  <c:v>1.7</c:v>
                </c:pt>
                <c:pt idx="120">
                  <c:v>1.2</c:v>
                </c:pt>
                <c:pt idx="121">
                  <c:v>1.2</c:v>
                </c:pt>
                <c:pt idx="122">
                  <c:v>0.60000000000000064</c:v>
                </c:pt>
                <c:pt idx="123">
                  <c:v>0.60000000000000064</c:v>
                </c:pt>
                <c:pt idx="124">
                  <c:v>0.1</c:v>
                </c:pt>
                <c:pt idx="125">
                  <c:v>-0.1</c:v>
                </c:pt>
                <c:pt idx="126">
                  <c:v>-0.60000000000000064</c:v>
                </c:pt>
                <c:pt idx="127">
                  <c:v>-0.1</c:v>
                </c:pt>
                <c:pt idx="128">
                  <c:v>-0.30000000000000032</c:v>
                </c:pt>
                <c:pt idx="129">
                  <c:v>-0.1</c:v>
                </c:pt>
                <c:pt idx="130">
                  <c:v>0.5</c:v>
                </c:pt>
                <c:pt idx="131">
                  <c:v>0.9</c:v>
                </c:pt>
                <c:pt idx="132">
                  <c:v>0.9</c:v>
                </c:pt>
                <c:pt idx="133">
                  <c:v>0.8</c:v>
                </c:pt>
                <c:pt idx="134">
                  <c:v>1.6</c:v>
                </c:pt>
                <c:pt idx="135">
                  <c:v>1.6</c:v>
                </c:pt>
                <c:pt idx="136">
                  <c:v>1.7</c:v>
                </c:pt>
                <c:pt idx="137">
                  <c:v>1.5</c:v>
                </c:pt>
                <c:pt idx="138">
                  <c:v>1.7</c:v>
                </c:pt>
                <c:pt idx="139">
                  <c:v>1.6</c:v>
                </c:pt>
                <c:pt idx="140">
                  <c:v>1.9000000000000001</c:v>
                </c:pt>
                <c:pt idx="141">
                  <c:v>1.9000000000000001</c:v>
                </c:pt>
                <c:pt idx="142">
                  <c:v>1.9000000000000001</c:v>
                </c:pt>
                <c:pt idx="143">
                  <c:v>2.2000000000000002</c:v>
                </c:pt>
                <c:pt idx="144">
                  <c:v>2.2999999999999998</c:v>
                </c:pt>
                <c:pt idx="145">
                  <c:v>2.4</c:v>
                </c:pt>
                <c:pt idx="146">
                  <c:v>2.7</c:v>
                </c:pt>
                <c:pt idx="147">
                  <c:v>2.8</c:v>
                </c:pt>
                <c:pt idx="148">
                  <c:v>2.7</c:v>
                </c:pt>
                <c:pt idx="149">
                  <c:v>2.7</c:v>
                </c:pt>
                <c:pt idx="150">
                  <c:v>2.6</c:v>
                </c:pt>
                <c:pt idx="151">
                  <c:v>2.6</c:v>
                </c:pt>
                <c:pt idx="152">
                  <c:v>3</c:v>
                </c:pt>
                <c:pt idx="153">
                  <c:v>3</c:v>
                </c:pt>
                <c:pt idx="154">
                  <c:v>3</c:v>
                </c:pt>
                <c:pt idx="155">
                  <c:v>2.8</c:v>
                </c:pt>
                <c:pt idx="156">
                  <c:v>2.7</c:v>
                </c:pt>
                <c:pt idx="157">
                  <c:v>2.7</c:v>
                </c:pt>
                <c:pt idx="158">
                  <c:v>2.7</c:v>
                </c:pt>
                <c:pt idx="159">
                  <c:v>2.6</c:v>
                </c:pt>
                <c:pt idx="160">
                  <c:v>2.4</c:v>
                </c:pt>
                <c:pt idx="161">
                  <c:v>2.4</c:v>
                </c:pt>
                <c:pt idx="162">
                  <c:v>2.4</c:v>
                </c:pt>
                <c:pt idx="163">
                  <c:v>2.6</c:v>
                </c:pt>
                <c:pt idx="164">
                  <c:v>2.6</c:v>
                </c:pt>
                <c:pt idx="165">
                  <c:v>2.5</c:v>
                </c:pt>
                <c:pt idx="166">
                  <c:v>2.2000000000000002</c:v>
                </c:pt>
                <c:pt idx="167">
                  <c:v>2.2000000000000002</c:v>
                </c:pt>
                <c:pt idx="168">
                  <c:v>2</c:v>
                </c:pt>
                <c:pt idx="169">
                  <c:v>1.9000000000000001</c:v>
                </c:pt>
                <c:pt idx="170">
                  <c:v>1.7</c:v>
                </c:pt>
                <c:pt idx="171">
                  <c:v>1.2</c:v>
                </c:pt>
                <c:pt idx="172">
                  <c:v>1.4</c:v>
                </c:pt>
                <c:pt idx="173">
                  <c:v>1.6</c:v>
                </c:pt>
                <c:pt idx="174">
                  <c:v>1.6</c:v>
                </c:pt>
                <c:pt idx="175">
                  <c:v>1.3</c:v>
                </c:pt>
                <c:pt idx="176">
                  <c:v>1.1000000000000001</c:v>
                </c:pt>
                <c:pt idx="177">
                  <c:v>0.70000000000000062</c:v>
                </c:pt>
                <c:pt idx="178">
                  <c:v>0.9</c:v>
                </c:pt>
                <c:pt idx="179">
                  <c:v>0.8</c:v>
                </c:pt>
                <c:pt idx="180">
                  <c:v>0.8</c:v>
                </c:pt>
                <c:pt idx="181">
                  <c:v>0.70000000000000062</c:v>
                </c:pt>
                <c:pt idx="182">
                  <c:v>0.5</c:v>
                </c:pt>
                <c:pt idx="183">
                  <c:v>0.70000000000000062</c:v>
                </c:pt>
                <c:pt idx="184">
                  <c:v>0.5</c:v>
                </c:pt>
                <c:pt idx="185">
                  <c:v>0.5</c:v>
                </c:pt>
                <c:pt idx="186">
                  <c:v>0.4</c:v>
                </c:pt>
                <c:pt idx="187">
                  <c:v>0.4</c:v>
                </c:pt>
                <c:pt idx="188">
                  <c:v>0.30000000000000032</c:v>
                </c:pt>
                <c:pt idx="189">
                  <c:v>0.4</c:v>
                </c:pt>
                <c:pt idx="190">
                  <c:v>0.30000000000000032</c:v>
                </c:pt>
                <c:pt idx="191">
                  <c:v>-0.2</c:v>
                </c:pt>
                <c:pt idx="192">
                  <c:v>-0.60000000000000064</c:v>
                </c:pt>
                <c:pt idx="193">
                  <c:v>-0.30000000000000032</c:v>
                </c:pt>
                <c:pt idx="194">
                  <c:v>-0.1</c:v>
                </c:pt>
                <c:pt idx="195">
                  <c:v>0.2</c:v>
                </c:pt>
                <c:pt idx="196">
                  <c:v>0.60000000000000064</c:v>
                </c:pt>
                <c:pt idx="197">
                  <c:v>0.5</c:v>
                </c:pt>
                <c:pt idx="198">
                  <c:v>0.5</c:v>
                </c:pt>
                <c:pt idx="199">
                  <c:v>0.4</c:v>
                </c:pt>
                <c:pt idx="200">
                  <c:v>0.2</c:v>
                </c:pt>
                <c:pt idx="201">
                  <c:v>0.4</c:v>
                </c:pt>
                <c:pt idx="202">
                  <c:v>0.1</c:v>
                </c:pt>
                <c:pt idx="203">
                  <c:v>0.30000000000000032</c:v>
                </c:pt>
                <c:pt idx="204">
                  <c:v>0.30000000000000032</c:v>
                </c:pt>
                <c:pt idx="205">
                  <c:v>-0.1</c:v>
                </c:pt>
                <c:pt idx="206">
                  <c:v>0</c:v>
                </c:pt>
                <c:pt idx="207">
                  <c:v>-0.30000000000000032</c:v>
                </c:pt>
                <c:pt idx="208">
                  <c:v>-0.1</c:v>
                </c:pt>
                <c:pt idx="209">
                  <c:v>0</c:v>
                </c:pt>
                <c:pt idx="210">
                  <c:v>0.2</c:v>
                </c:pt>
                <c:pt idx="211">
                  <c:v>0.2</c:v>
                </c:pt>
                <c:pt idx="212">
                  <c:v>0.4</c:v>
                </c:pt>
                <c:pt idx="213">
                  <c:v>0.5</c:v>
                </c:pt>
                <c:pt idx="214">
                  <c:v>0.60000000000000064</c:v>
                </c:pt>
                <c:pt idx="215">
                  <c:v>1.1000000000000001</c:v>
                </c:pt>
                <c:pt idx="216">
                  <c:v>1.7</c:v>
                </c:pt>
                <c:pt idx="217">
                  <c:v>2</c:v>
                </c:pt>
                <c:pt idx="218">
                  <c:v>1.5</c:v>
                </c:pt>
                <c:pt idx="219">
                  <c:v>1.9000000000000001</c:v>
                </c:pt>
                <c:pt idx="220">
                  <c:v>1.4</c:v>
                </c:pt>
                <c:pt idx="221">
                  <c:v>1.3</c:v>
                </c:pt>
                <c:pt idx="222">
                  <c:v>1.3</c:v>
                </c:pt>
                <c:pt idx="223">
                  <c:v>1.5</c:v>
                </c:pt>
                <c:pt idx="224">
                  <c:v>1.6</c:v>
                </c:pt>
                <c:pt idx="225">
                  <c:v>1.4</c:v>
                </c:pt>
                <c:pt idx="226">
                  <c:v>1.5</c:v>
                </c:pt>
                <c:pt idx="227">
                  <c:v>1.3</c:v>
                </c:pt>
                <c:pt idx="228">
                  <c:v>1.3</c:v>
                </c:pt>
                <c:pt idx="229">
                  <c:v>1.1000000000000001</c:v>
                </c:pt>
                <c:pt idx="230">
                  <c:v>1.4</c:v>
                </c:pt>
                <c:pt idx="231">
                  <c:v>1.2</c:v>
                </c:pt>
                <c:pt idx="232">
                  <c:v>2</c:v>
                </c:pt>
                <c:pt idx="233">
                  <c:v>2</c:v>
                </c:pt>
                <c:pt idx="234">
                  <c:v>2.2000000000000002</c:v>
                </c:pt>
                <c:pt idx="235">
                  <c:v>2.1</c:v>
                </c:pt>
                <c:pt idx="236">
                  <c:v>2.1</c:v>
                </c:pt>
                <c:pt idx="237">
                  <c:v>2.2999999999999998</c:v>
                </c:pt>
                <c:pt idx="238">
                  <c:v>1.9000000000000001</c:v>
                </c:pt>
                <c:pt idx="239">
                  <c:v>1.5</c:v>
                </c:pt>
                <c:pt idx="240">
                  <c:v>1.4</c:v>
                </c:pt>
                <c:pt idx="241">
                  <c:v>1.5</c:v>
                </c:pt>
                <c:pt idx="242">
                  <c:v>1.4</c:v>
                </c:pt>
                <c:pt idx="243">
                  <c:v>1.7</c:v>
                </c:pt>
              </c:numCache>
            </c:numRef>
          </c:val>
        </c:ser>
        <c:marker val="1"/>
        <c:axId val="155642112"/>
        <c:axId val="159248384"/>
      </c:lineChart>
      <c:dateAx>
        <c:axId val="155642112"/>
        <c:scaling>
          <c:orientation val="minMax"/>
        </c:scaling>
        <c:axPos val="b"/>
        <c:numFmt formatCode="mmm\-yy" sourceLinked="1"/>
        <c:tickLblPos val="nextTo"/>
        <c:txPr>
          <a:bodyPr/>
          <a:lstStyle/>
          <a:p>
            <a:pPr>
              <a:defRPr sz="600"/>
            </a:pPr>
            <a:endParaRPr lang="fr-FR"/>
          </a:p>
        </c:txPr>
        <c:crossAx val="159248384"/>
        <c:crossesAt val="-1"/>
        <c:auto val="1"/>
        <c:lblOffset val="100"/>
      </c:dateAx>
      <c:valAx>
        <c:axId val="159248384"/>
        <c:scaling>
          <c:orientation val="minMax"/>
        </c:scaling>
        <c:axPos val="l"/>
        <c:majorGridlines/>
        <c:minorGridlines/>
        <c:numFmt formatCode="General" sourceLinked="1"/>
        <c:tickLblPos val="nextTo"/>
        <c:txPr>
          <a:bodyPr/>
          <a:lstStyle/>
          <a:p>
            <a:pPr>
              <a:defRPr sz="600"/>
            </a:pPr>
            <a:endParaRPr lang="fr-FR"/>
          </a:p>
        </c:txPr>
        <c:crossAx val="155642112"/>
        <c:crosses val="autoZero"/>
        <c:crossBetween val="between"/>
      </c:valAx>
    </c:plotArea>
    <c:legend>
      <c:legendPos val="r"/>
      <c:layout>
        <c:manualLayout>
          <c:xMode val="edge"/>
          <c:yMode val="edge"/>
          <c:x val="0.71264286408643363"/>
          <c:y val="4.0296704426307034E-2"/>
          <c:w val="0.25868832368176198"/>
          <c:h val="7.5542196912070064E-2"/>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2635940985192714E-2"/>
          <c:y val="2.319064163976892E-2"/>
          <c:w val="0.96193738410684959"/>
          <c:h val="0.9389973067987929"/>
        </c:manualLayout>
      </c:layout>
      <c:lineChart>
        <c:grouping val="standard"/>
        <c:ser>
          <c:idx val="0"/>
          <c:order val="0"/>
          <c:tx>
            <c:strRef>
              <c:f>Feuil1!$B$1</c:f>
              <c:strCache>
                <c:ptCount val="1"/>
                <c:pt idx="0">
                  <c:v>Banque du Japon</c:v>
                </c:pt>
              </c:strCache>
            </c:strRef>
          </c:tx>
          <c:spPr>
            <a:ln>
              <a:solidFill>
                <a:schemeClr val="tx1"/>
              </a:solidFill>
            </a:ln>
          </c:spPr>
          <c:marker>
            <c:symbol val="none"/>
          </c:marker>
          <c:cat>
            <c:numRef>
              <c:f>Feuil1!$A$2:$A$245</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Feuil1!$B$2:$B$245</c:f>
              <c:numCache>
                <c:formatCode>General</c:formatCode>
                <c:ptCount val="244"/>
                <c:pt idx="0">
                  <c:v>0.25</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0.25</c:v>
                </c:pt>
                <c:pt idx="20">
                  <c:v>0.25</c:v>
                </c:pt>
                <c:pt idx="21">
                  <c:v>0.25</c:v>
                </c:pt>
                <c:pt idx="22">
                  <c:v>0.25</c:v>
                </c:pt>
                <c:pt idx="23">
                  <c:v>0.25</c:v>
                </c:pt>
                <c:pt idx="24">
                  <c:v>0.25</c:v>
                </c:pt>
                <c:pt idx="25">
                  <c:v>0.25</c:v>
                </c:pt>
                <c:pt idx="26">
                  <c:v>0.15000000000000024</c:v>
                </c:pt>
                <c:pt idx="27">
                  <c:v>0.15000000000000024</c:v>
                </c:pt>
                <c:pt idx="28">
                  <c:v>0.15000000000000024</c:v>
                </c:pt>
                <c:pt idx="29">
                  <c:v>0.15000000000000024</c:v>
                </c:pt>
                <c:pt idx="30">
                  <c:v>0.15000000000000024</c:v>
                </c:pt>
                <c:pt idx="31">
                  <c:v>0.15000000000000024</c:v>
                </c:pt>
                <c:pt idx="32">
                  <c:v>0.15000000000000024</c:v>
                </c:pt>
                <c:pt idx="33">
                  <c:v>0.1</c:v>
                </c:pt>
                <c:pt idx="34">
                  <c:v>0.1</c:v>
                </c:pt>
                <c:pt idx="35">
                  <c:v>0.1</c:v>
                </c:pt>
                <c:pt idx="36">
                  <c:v>0.1</c:v>
                </c:pt>
                <c:pt idx="37">
                  <c:v>0.1</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0.25</c:v>
                </c:pt>
                <c:pt idx="91">
                  <c:v>0.25</c:v>
                </c:pt>
                <c:pt idx="92">
                  <c:v>0.25</c:v>
                </c:pt>
                <c:pt idx="93">
                  <c:v>0.25</c:v>
                </c:pt>
                <c:pt idx="94">
                  <c:v>0.25</c:v>
                </c:pt>
                <c:pt idx="95">
                  <c:v>0.25</c:v>
                </c:pt>
                <c:pt idx="96">
                  <c:v>0.25</c:v>
                </c:pt>
                <c:pt idx="97">
                  <c:v>0.25</c:v>
                </c:pt>
                <c:pt idx="98">
                  <c:v>0.5</c:v>
                </c:pt>
                <c:pt idx="99">
                  <c:v>0.5</c:v>
                </c:pt>
                <c:pt idx="100">
                  <c:v>0.5</c:v>
                </c:pt>
                <c:pt idx="101">
                  <c:v>0.5</c:v>
                </c:pt>
                <c:pt idx="102">
                  <c:v>0.5</c:v>
                </c:pt>
                <c:pt idx="103">
                  <c:v>0.5</c:v>
                </c:pt>
                <c:pt idx="104">
                  <c:v>0.5</c:v>
                </c:pt>
                <c:pt idx="105">
                  <c:v>0.5</c:v>
                </c:pt>
                <c:pt idx="106">
                  <c:v>0.5</c:v>
                </c:pt>
                <c:pt idx="107">
                  <c:v>0.5</c:v>
                </c:pt>
                <c:pt idx="108">
                  <c:v>0.5</c:v>
                </c:pt>
                <c:pt idx="109">
                  <c:v>0.5</c:v>
                </c:pt>
                <c:pt idx="110">
                  <c:v>0.5</c:v>
                </c:pt>
                <c:pt idx="111">
                  <c:v>0.5</c:v>
                </c:pt>
                <c:pt idx="112">
                  <c:v>0.5</c:v>
                </c:pt>
                <c:pt idx="113">
                  <c:v>0.5</c:v>
                </c:pt>
                <c:pt idx="114">
                  <c:v>0.5</c:v>
                </c:pt>
                <c:pt idx="115">
                  <c:v>0.5</c:v>
                </c:pt>
                <c:pt idx="116">
                  <c:v>0.5</c:v>
                </c:pt>
                <c:pt idx="117">
                  <c:v>0.5</c:v>
                </c:pt>
                <c:pt idx="118">
                  <c:v>0.30000000000000032</c:v>
                </c:pt>
                <c:pt idx="119">
                  <c:v>0.30000000000000032</c:v>
                </c:pt>
                <c:pt idx="120">
                  <c:v>0.1</c:v>
                </c:pt>
                <c:pt idx="121">
                  <c:v>0.1</c:v>
                </c:pt>
                <c:pt idx="122">
                  <c:v>0.1</c:v>
                </c:pt>
                <c:pt idx="123">
                  <c:v>0.1</c:v>
                </c:pt>
                <c:pt idx="124">
                  <c:v>0.1</c:v>
                </c:pt>
                <c:pt idx="125">
                  <c:v>0.1</c:v>
                </c:pt>
                <c:pt idx="126">
                  <c:v>0.1</c:v>
                </c:pt>
                <c:pt idx="127">
                  <c:v>0.1</c:v>
                </c:pt>
                <c:pt idx="128">
                  <c:v>0.1</c:v>
                </c:pt>
                <c:pt idx="129">
                  <c:v>0.1</c:v>
                </c:pt>
                <c:pt idx="130">
                  <c:v>0.1</c:v>
                </c:pt>
                <c:pt idx="131">
                  <c:v>0.1</c:v>
                </c:pt>
                <c:pt idx="132">
                  <c:v>0.1</c:v>
                </c:pt>
                <c:pt idx="133">
                  <c:v>0.1</c:v>
                </c:pt>
                <c:pt idx="134">
                  <c:v>0.1</c:v>
                </c:pt>
                <c:pt idx="135">
                  <c:v>0.1</c:v>
                </c:pt>
                <c:pt idx="136">
                  <c:v>0.1</c:v>
                </c:pt>
                <c:pt idx="137">
                  <c:v>0.1</c:v>
                </c:pt>
                <c:pt idx="138">
                  <c:v>0.1</c:v>
                </c:pt>
                <c:pt idx="139">
                  <c:v>0.1</c:v>
                </c:pt>
                <c:pt idx="140">
                  <c:v>0.1</c:v>
                </c:pt>
                <c:pt idx="141">
                  <c:v>0.1</c:v>
                </c:pt>
                <c:pt idx="142">
                  <c:v>0.1</c:v>
                </c:pt>
                <c:pt idx="143">
                  <c:v>0.1</c:v>
                </c:pt>
                <c:pt idx="144">
                  <c:v>0.1</c:v>
                </c:pt>
                <c:pt idx="145">
                  <c:v>0.1</c:v>
                </c:pt>
                <c:pt idx="146">
                  <c:v>0.1</c:v>
                </c:pt>
                <c:pt idx="147">
                  <c:v>0.1</c:v>
                </c:pt>
                <c:pt idx="148">
                  <c:v>0.1</c:v>
                </c:pt>
                <c:pt idx="149">
                  <c:v>0.1</c:v>
                </c:pt>
                <c:pt idx="150">
                  <c:v>0.1</c:v>
                </c:pt>
                <c:pt idx="151">
                  <c:v>0.1</c:v>
                </c:pt>
                <c:pt idx="152">
                  <c:v>0.1</c:v>
                </c:pt>
                <c:pt idx="153">
                  <c:v>0.1</c:v>
                </c:pt>
                <c:pt idx="154">
                  <c:v>0.1</c:v>
                </c:pt>
                <c:pt idx="155">
                  <c:v>0.1</c:v>
                </c:pt>
                <c:pt idx="156">
                  <c:v>0.1</c:v>
                </c:pt>
                <c:pt idx="157">
                  <c:v>0.1</c:v>
                </c:pt>
                <c:pt idx="158">
                  <c:v>0.1</c:v>
                </c:pt>
                <c:pt idx="159">
                  <c:v>0.1</c:v>
                </c:pt>
                <c:pt idx="160">
                  <c:v>0.1</c:v>
                </c:pt>
                <c:pt idx="161">
                  <c:v>0.1</c:v>
                </c:pt>
                <c:pt idx="162">
                  <c:v>0.1</c:v>
                </c:pt>
                <c:pt idx="163">
                  <c:v>0.1</c:v>
                </c:pt>
                <c:pt idx="164">
                  <c:v>0.1</c:v>
                </c:pt>
                <c:pt idx="165">
                  <c:v>0.1</c:v>
                </c:pt>
                <c:pt idx="166">
                  <c:v>0.1</c:v>
                </c:pt>
                <c:pt idx="167">
                  <c:v>0.1</c:v>
                </c:pt>
                <c:pt idx="168">
                  <c:v>0.1</c:v>
                </c:pt>
                <c:pt idx="169">
                  <c:v>0.1</c:v>
                </c:pt>
                <c:pt idx="170">
                  <c:v>0.1</c:v>
                </c:pt>
                <c:pt idx="171">
                  <c:v>0.1</c:v>
                </c:pt>
                <c:pt idx="172">
                  <c:v>0.1</c:v>
                </c:pt>
                <c:pt idx="173">
                  <c:v>0.1</c:v>
                </c:pt>
                <c:pt idx="174">
                  <c:v>0.1</c:v>
                </c:pt>
                <c:pt idx="175">
                  <c:v>0.1</c:v>
                </c:pt>
                <c:pt idx="176">
                  <c:v>0.1</c:v>
                </c:pt>
                <c:pt idx="177">
                  <c:v>0.1</c:v>
                </c:pt>
                <c:pt idx="178">
                  <c:v>0.1</c:v>
                </c:pt>
                <c:pt idx="179">
                  <c:v>0.1</c:v>
                </c:pt>
                <c:pt idx="180">
                  <c:v>0.1</c:v>
                </c:pt>
                <c:pt idx="181">
                  <c:v>0.1</c:v>
                </c:pt>
                <c:pt idx="182">
                  <c:v>0.1</c:v>
                </c:pt>
                <c:pt idx="183">
                  <c:v>0.1</c:v>
                </c:pt>
                <c:pt idx="184">
                  <c:v>0.1</c:v>
                </c:pt>
                <c:pt idx="185">
                  <c:v>0.1</c:v>
                </c:pt>
                <c:pt idx="186">
                  <c:v>0.1</c:v>
                </c:pt>
                <c:pt idx="187">
                  <c:v>0.1</c:v>
                </c:pt>
                <c:pt idx="188">
                  <c:v>0.1</c:v>
                </c:pt>
                <c:pt idx="189">
                  <c:v>0.1</c:v>
                </c:pt>
                <c:pt idx="190">
                  <c:v>0.1</c:v>
                </c:pt>
                <c:pt idx="191">
                  <c:v>0.1</c:v>
                </c:pt>
                <c:pt idx="192">
                  <c:v>0.1</c:v>
                </c:pt>
                <c:pt idx="193">
                  <c:v>0.1</c:v>
                </c:pt>
                <c:pt idx="194">
                  <c:v>0.1</c:v>
                </c:pt>
                <c:pt idx="195">
                  <c:v>0.1</c:v>
                </c:pt>
                <c:pt idx="196">
                  <c:v>0.1</c:v>
                </c:pt>
                <c:pt idx="197">
                  <c:v>0.1</c:v>
                </c:pt>
                <c:pt idx="198">
                  <c:v>0.1</c:v>
                </c:pt>
                <c:pt idx="199">
                  <c:v>0.1</c:v>
                </c:pt>
                <c:pt idx="200">
                  <c:v>0.1</c:v>
                </c:pt>
                <c:pt idx="201">
                  <c:v>0.1</c:v>
                </c:pt>
                <c:pt idx="202">
                  <c:v>0.1</c:v>
                </c:pt>
                <c:pt idx="203">
                  <c:v>0.1</c:v>
                </c:pt>
                <c:pt idx="204">
                  <c:v>0.1</c:v>
                </c:pt>
                <c:pt idx="205">
                  <c:v>-0.1</c:v>
                </c:pt>
                <c:pt idx="206">
                  <c:v>-0.1</c:v>
                </c:pt>
                <c:pt idx="207">
                  <c:v>-0.1</c:v>
                </c:pt>
                <c:pt idx="208">
                  <c:v>-0.1</c:v>
                </c:pt>
                <c:pt idx="209">
                  <c:v>-0.1</c:v>
                </c:pt>
                <c:pt idx="210">
                  <c:v>-0.1</c:v>
                </c:pt>
                <c:pt idx="211">
                  <c:v>-0.1</c:v>
                </c:pt>
                <c:pt idx="212">
                  <c:v>-0.1</c:v>
                </c:pt>
                <c:pt idx="213">
                  <c:v>-0.1</c:v>
                </c:pt>
                <c:pt idx="214">
                  <c:v>-0.1</c:v>
                </c:pt>
                <c:pt idx="215">
                  <c:v>-0.1</c:v>
                </c:pt>
                <c:pt idx="216">
                  <c:v>-0.1</c:v>
                </c:pt>
                <c:pt idx="217">
                  <c:v>-0.1</c:v>
                </c:pt>
                <c:pt idx="218">
                  <c:v>-0.1</c:v>
                </c:pt>
                <c:pt idx="219">
                  <c:v>-0.1</c:v>
                </c:pt>
                <c:pt idx="220">
                  <c:v>-0.1</c:v>
                </c:pt>
                <c:pt idx="221">
                  <c:v>-0.1</c:v>
                </c:pt>
                <c:pt idx="222">
                  <c:v>-0.1</c:v>
                </c:pt>
                <c:pt idx="223">
                  <c:v>-0.1</c:v>
                </c:pt>
                <c:pt idx="224">
                  <c:v>-0.1</c:v>
                </c:pt>
                <c:pt idx="225">
                  <c:v>-0.1</c:v>
                </c:pt>
                <c:pt idx="226">
                  <c:v>-0.1</c:v>
                </c:pt>
                <c:pt idx="227">
                  <c:v>-0.1</c:v>
                </c:pt>
                <c:pt idx="228">
                  <c:v>-0.1</c:v>
                </c:pt>
                <c:pt idx="229">
                  <c:v>-0.1</c:v>
                </c:pt>
                <c:pt idx="230">
                  <c:v>-0.1</c:v>
                </c:pt>
                <c:pt idx="231">
                  <c:v>-0.1</c:v>
                </c:pt>
                <c:pt idx="232">
                  <c:v>-0.1</c:v>
                </c:pt>
                <c:pt idx="233">
                  <c:v>-0.1</c:v>
                </c:pt>
                <c:pt idx="234">
                  <c:v>-0.1</c:v>
                </c:pt>
                <c:pt idx="235">
                  <c:v>-0.1</c:v>
                </c:pt>
                <c:pt idx="236">
                  <c:v>-0.1</c:v>
                </c:pt>
                <c:pt idx="237">
                  <c:v>-0.1</c:v>
                </c:pt>
                <c:pt idx="238">
                  <c:v>-0.1</c:v>
                </c:pt>
                <c:pt idx="239">
                  <c:v>-0.1</c:v>
                </c:pt>
                <c:pt idx="240">
                  <c:v>-0.1</c:v>
                </c:pt>
                <c:pt idx="241">
                  <c:v>-0.1</c:v>
                </c:pt>
                <c:pt idx="242">
                  <c:v>-0.1</c:v>
                </c:pt>
                <c:pt idx="243">
                  <c:v>-0.1</c:v>
                </c:pt>
              </c:numCache>
            </c:numRef>
          </c:val>
        </c:ser>
        <c:ser>
          <c:idx val="1"/>
          <c:order val="1"/>
          <c:tx>
            <c:strRef>
              <c:f>Feuil1!$C$1</c:f>
              <c:strCache>
                <c:ptCount val="1"/>
                <c:pt idx="0">
                  <c:v>BCE</c:v>
                </c:pt>
              </c:strCache>
            </c:strRef>
          </c:tx>
          <c:spPr>
            <a:ln>
              <a:solidFill>
                <a:schemeClr val="bg1">
                  <a:lumMod val="75000"/>
                </a:schemeClr>
              </a:solidFill>
              <a:prstDash val="solid"/>
            </a:ln>
          </c:spPr>
          <c:marker>
            <c:symbol val="none"/>
          </c:marker>
          <c:cat>
            <c:numRef>
              <c:f>Feuil1!$A$2:$A$245</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Feuil1!$C$2:$C$245</c:f>
              <c:numCache>
                <c:formatCode>General</c:formatCode>
                <c:ptCount val="244"/>
                <c:pt idx="0">
                  <c:v>3</c:v>
                </c:pt>
                <c:pt idx="1">
                  <c:v>3</c:v>
                </c:pt>
                <c:pt idx="2">
                  <c:v>3</c:v>
                </c:pt>
                <c:pt idx="3">
                  <c:v>2.5</c:v>
                </c:pt>
                <c:pt idx="4">
                  <c:v>2.5</c:v>
                </c:pt>
                <c:pt idx="5">
                  <c:v>2.5</c:v>
                </c:pt>
                <c:pt idx="6">
                  <c:v>2.5</c:v>
                </c:pt>
                <c:pt idx="7">
                  <c:v>2.5</c:v>
                </c:pt>
                <c:pt idx="8">
                  <c:v>2.5</c:v>
                </c:pt>
                <c:pt idx="9">
                  <c:v>2.5</c:v>
                </c:pt>
                <c:pt idx="10">
                  <c:v>3</c:v>
                </c:pt>
                <c:pt idx="11">
                  <c:v>3</c:v>
                </c:pt>
                <c:pt idx="12">
                  <c:v>3</c:v>
                </c:pt>
                <c:pt idx="13">
                  <c:v>3.25</c:v>
                </c:pt>
                <c:pt idx="14">
                  <c:v>3.5</c:v>
                </c:pt>
                <c:pt idx="15">
                  <c:v>3.75</c:v>
                </c:pt>
                <c:pt idx="16">
                  <c:v>3.75</c:v>
                </c:pt>
                <c:pt idx="17">
                  <c:v>4.25</c:v>
                </c:pt>
                <c:pt idx="18">
                  <c:v>4.25</c:v>
                </c:pt>
                <c:pt idx="19">
                  <c:v>4.25</c:v>
                </c:pt>
                <c:pt idx="20">
                  <c:v>4.25</c:v>
                </c:pt>
                <c:pt idx="21">
                  <c:v>4.25</c:v>
                </c:pt>
                <c:pt idx="22">
                  <c:v>4.25</c:v>
                </c:pt>
                <c:pt idx="23">
                  <c:v>4.25</c:v>
                </c:pt>
                <c:pt idx="24">
                  <c:v>4.25</c:v>
                </c:pt>
                <c:pt idx="25">
                  <c:v>4.25</c:v>
                </c:pt>
                <c:pt idx="26">
                  <c:v>4.25</c:v>
                </c:pt>
                <c:pt idx="27">
                  <c:v>4.25</c:v>
                </c:pt>
                <c:pt idx="28">
                  <c:v>4.25</c:v>
                </c:pt>
                <c:pt idx="29">
                  <c:v>4.25</c:v>
                </c:pt>
                <c:pt idx="30">
                  <c:v>4.25</c:v>
                </c:pt>
                <c:pt idx="31">
                  <c:v>4.25</c:v>
                </c:pt>
                <c:pt idx="32">
                  <c:v>4.25</c:v>
                </c:pt>
                <c:pt idx="33">
                  <c:v>4.25</c:v>
                </c:pt>
                <c:pt idx="34">
                  <c:v>4.25</c:v>
                </c:pt>
                <c:pt idx="35">
                  <c:v>4.25</c:v>
                </c:pt>
                <c:pt idx="36">
                  <c:v>4.25</c:v>
                </c:pt>
                <c:pt idx="37">
                  <c:v>4.25</c:v>
                </c:pt>
                <c:pt idx="38">
                  <c:v>4.25</c:v>
                </c:pt>
                <c:pt idx="39">
                  <c:v>4.25</c:v>
                </c:pt>
                <c:pt idx="40">
                  <c:v>4.25</c:v>
                </c:pt>
                <c:pt idx="41">
                  <c:v>4.25</c:v>
                </c:pt>
                <c:pt idx="42">
                  <c:v>4.25</c:v>
                </c:pt>
                <c:pt idx="43">
                  <c:v>4.25</c:v>
                </c:pt>
                <c:pt idx="44">
                  <c:v>4.25</c:v>
                </c:pt>
                <c:pt idx="45">
                  <c:v>4.25</c:v>
                </c:pt>
                <c:pt idx="46">
                  <c:v>4.25</c:v>
                </c:pt>
                <c:pt idx="47">
                  <c:v>4.25</c:v>
                </c:pt>
                <c:pt idx="48">
                  <c:v>4.25</c:v>
                </c:pt>
                <c:pt idx="49">
                  <c:v>4.25</c:v>
                </c:pt>
                <c:pt idx="50">
                  <c:v>4.25</c:v>
                </c:pt>
                <c:pt idx="51">
                  <c:v>4.25</c:v>
                </c:pt>
                <c:pt idx="52">
                  <c:v>4.25</c:v>
                </c:pt>
                <c:pt idx="53">
                  <c:v>4.25</c:v>
                </c:pt>
                <c:pt idx="54">
                  <c:v>4.25</c:v>
                </c:pt>
                <c:pt idx="55">
                  <c:v>4.25</c:v>
                </c:pt>
                <c:pt idx="56">
                  <c:v>4.25</c:v>
                </c:pt>
                <c:pt idx="57">
                  <c:v>4.25</c:v>
                </c:pt>
                <c:pt idx="58">
                  <c:v>4.25</c:v>
                </c:pt>
                <c:pt idx="59">
                  <c:v>4.25</c:v>
                </c:pt>
                <c:pt idx="60">
                  <c:v>4.25</c:v>
                </c:pt>
                <c:pt idx="61">
                  <c:v>4.25</c:v>
                </c:pt>
                <c:pt idx="62">
                  <c:v>4.25</c:v>
                </c:pt>
                <c:pt idx="63">
                  <c:v>4.25</c:v>
                </c:pt>
                <c:pt idx="64">
                  <c:v>4.25</c:v>
                </c:pt>
                <c:pt idx="65">
                  <c:v>4.25</c:v>
                </c:pt>
                <c:pt idx="66">
                  <c:v>4.25</c:v>
                </c:pt>
                <c:pt idx="67">
                  <c:v>4.25</c:v>
                </c:pt>
                <c:pt idx="68">
                  <c:v>4.25</c:v>
                </c:pt>
                <c:pt idx="69">
                  <c:v>4.25</c:v>
                </c:pt>
                <c:pt idx="70">
                  <c:v>4.25</c:v>
                </c:pt>
                <c:pt idx="71">
                  <c:v>4.25</c:v>
                </c:pt>
                <c:pt idx="72">
                  <c:v>4.25</c:v>
                </c:pt>
                <c:pt idx="73">
                  <c:v>4.25</c:v>
                </c:pt>
                <c:pt idx="74">
                  <c:v>4.25</c:v>
                </c:pt>
                <c:pt idx="75">
                  <c:v>4.25</c:v>
                </c:pt>
                <c:pt idx="76">
                  <c:v>4.25</c:v>
                </c:pt>
                <c:pt idx="77">
                  <c:v>4.25</c:v>
                </c:pt>
                <c:pt idx="78">
                  <c:v>4.25</c:v>
                </c:pt>
                <c:pt idx="79">
                  <c:v>4.25</c:v>
                </c:pt>
                <c:pt idx="80">
                  <c:v>4.25</c:v>
                </c:pt>
                <c:pt idx="81">
                  <c:v>4.25</c:v>
                </c:pt>
                <c:pt idx="82">
                  <c:v>4.25</c:v>
                </c:pt>
                <c:pt idx="83">
                  <c:v>4.25</c:v>
                </c:pt>
                <c:pt idx="84">
                  <c:v>4.25</c:v>
                </c:pt>
                <c:pt idx="85">
                  <c:v>4.25</c:v>
                </c:pt>
                <c:pt idx="86">
                  <c:v>4.25</c:v>
                </c:pt>
                <c:pt idx="87">
                  <c:v>4.25</c:v>
                </c:pt>
                <c:pt idx="88">
                  <c:v>4.25</c:v>
                </c:pt>
                <c:pt idx="89">
                  <c:v>4.25</c:v>
                </c:pt>
                <c:pt idx="90">
                  <c:v>4.25</c:v>
                </c:pt>
                <c:pt idx="91">
                  <c:v>4.25</c:v>
                </c:pt>
                <c:pt idx="92">
                  <c:v>4.25</c:v>
                </c:pt>
                <c:pt idx="93">
                  <c:v>4.25</c:v>
                </c:pt>
                <c:pt idx="94">
                  <c:v>4.25</c:v>
                </c:pt>
                <c:pt idx="95">
                  <c:v>4.25</c:v>
                </c:pt>
                <c:pt idx="96">
                  <c:v>4.25</c:v>
                </c:pt>
                <c:pt idx="97">
                  <c:v>4.25</c:v>
                </c:pt>
                <c:pt idx="98">
                  <c:v>4.25</c:v>
                </c:pt>
                <c:pt idx="99">
                  <c:v>4.25</c:v>
                </c:pt>
                <c:pt idx="100">
                  <c:v>4.25</c:v>
                </c:pt>
                <c:pt idx="101">
                  <c:v>4.25</c:v>
                </c:pt>
                <c:pt idx="102">
                  <c:v>4.25</c:v>
                </c:pt>
                <c:pt idx="103">
                  <c:v>4.25</c:v>
                </c:pt>
                <c:pt idx="104">
                  <c:v>4.25</c:v>
                </c:pt>
                <c:pt idx="105">
                  <c:v>4.25</c:v>
                </c:pt>
                <c:pt idx="106">
                  <c:v>4.25</c:v>
                </c:pt>
                <c:pt idx="107">
                  <c:v>4.25</c:v>
                </c:pt>
                <c:pt idx="108">
                  <c:v>4.25</c:v>
                </c:pt>
                <c:pt idx="109">
                  <c:v>4.25</c:v>
                </c:pt>
                <c:pt idx="110">
                  <c:v>4.25</c:v>
                </c:pt>
                <c:pt idx="111">
                  <c:v>4.25</c:v>
                </c:pt>
                <c:pt idx="112">
                  <c:v>4.25</c:v>
                </c:pt>
                <c:pt idx="113">
                  <c:v>4.25</c:v>
                </c:pt>
                <c:pt idx="114">
                  <c:v>4.25</c:v>
                </c:pt>
                <c:pt idx="115">
                  <c:v>4.25</c:v>
                </c:pt>
                <c:pt idx="116">
                  <c:v>4.25</c:v>
                </c:pt>
                <c:pt idx="117">
                  <c:v>3.75</c:v>
                </c:pt>
                <c:pt idx="118">
                  <c:v>3.25</c:v>
                </c:pt>
                <c:pt idx="119">
                  <c:v>2.5</c:v>
                </c:pt>
                <c:pt idx="120">
                  <c:v>2</c:v>
                </c:pt>
                <c:pt idx="121">
                  <c:v>2</c:v>
                </c:pt>
                <c:pt idx="122">
                  <c:v>1.5</c:v>
                </c:pt>
                <c:pt idx="123">
                  <c:v>1.25</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1.25</c:v>
                </c:pt>
                <c:pt idx="148">
                  <c:v>1.25</c:v>
                </c:pt>
                <c:pt idx="149">
                  <c:v>1.25</c:v>
                </c:pt>
                <c:pt idx="150">
                  <c:v>1.5</c:v>
                </c:pt>
                <c:pt idx="151">
                  <c:v>1.5</c:v>
                </c:pt>
                <c:pt idx="152">
                  <c:v>1.5</c:v>
                </c:pt>
                <c:pt idx="153">
                  <c:v>1.5</c:v>
                </c:pt>
                <c:pt idx="154">
                  <c:v>1.25</c:v>
                </c:pt>
                <c:pt idx="155">
                  <c:v>1</c:v>
                </c:pt>
                <c:pt idx="156">
                  <c:v>1</c:v>
                </c:pt>
                <c:pt idx="157">
                  <c:v>1</c:v>
                </c:pt>
                <c:pt idx="158">
                  <c:v>1</c:v>
                </c:pt>
                <c:pt idx="159">
                  <c:v>1</c:v>
                </c:pt>
                <c:pt idx="160">
                  <c:v>1</c:v>
                </c:pt>
                <c:pt idx="161">
                  <c:v>1</c:v>
                </c:pt>
                <c:pt idx="162">
                  <c:v>0.75000000000000133</c:v>
                </c:pt>
                <c:pt idx="163">
                  <c:v>0.75000000000000133</c:v>
                </c:pt>
                <c:pt idx="164">
                  <c:v>0.75000000000000133</c:v>
                </c:pt>
                <c:pt idx="165">
                  <c:v>0.75000000000000133</c:v>
                </c:pt>
                <c:pt idx="166">
                  <c:v>0.75000000000000133</c:v>
                </c:pt>
                <c:pt idx="167">
                  <c:v>0.75000000000000133</c:v>
                </c:pt>
                <c:pt idx="168">
                  <c:v>0.75000000000000133</c:v>
                </c:pt>
                <c:pt idx="169">
                  <c:v>0.75000000000000133</c:v>
                </c:pt>
                <c:pt idx="170">
                  <c:v>0.75000000000000133</c:v>
                </c:pt>
                <c:pt idx="171">
                  <c:v>0.75000000000000133</c:v>
                </c:pt>
                <c:pt idx="172">
                  <c:v>0.5</c:v>
                </c:pt>
                <c:pt idx="173">
                  <c:v>0.5</c:v>
                </c:pt>
                <c:pt idx="174">
                  <c:v>0.5</c:v>
                </c:pt>
                <c:pt idx="175">
                  <c:v>0.5</c:v>
                </c:pt>
                <c:pt idx="176">
                  <c:v>0.5</c:v>
                </c:pt>
                <c:pt idx="177">
                  <c:v>0.5</c:v>
                </c:pt>
                <c:pt idx="178">
                  <c:v>0.25</c:v>
                </c:pt>
                <c:pt idx="179">
                  <c:v>0.25</c:v>
                </c:pt>
                <c:pt idx="180">
                  <c:v>0.25</c:v>
                </c:pt>
                <c:pt idx="181">
                  <c:v>0.25</c:v>
                </c:pt>
                <c:pt idx="182">
                  <c:v>0.25</c:v>
                </c:pt>
                <c:pt idx="183">
                  <c:v>0.25</c:v>
                </c:pt>
                <c:pt idx="184">
                  <c:v>0.25</c:v>
                </c:pt>
                <c:pt idx="185">
                  <c:v>0.15000000000000024</c:v>
                </c:pt>
                <c:pt idx="186">
                  <c:v>0.15000000000000024</c:v>
                </c:pt>
                <c:pt idx="187">
                  <c:v>0.15000000000000024</c:v>
                </c:pt>
                <c:pt idx="188">
                  <c:v>0.05</c:v>
                </c:pt>
                <c:pt idx="189">
                  <c:v>0.05</c:v>
                </c:pt>
                <c:pt idx="190">
                  <c:v>0.05</c:v>
                </c:pt>
                <c:pt idx="191">
                  <c:v>0.05</c:v>
                </c:pt>
                <c:pt idx="192">
                  <c:v>0.05</c:v>
                </c:pt>
                <c:pt idx="193">
                  <c:v>0.05</c:v>
                </c:pt>
                <c:pt idx="194">
                  <c:v>0.05</c:v>
                </c:pt>
                <c:pt idx="195">
                  <c:v>0.05</c:v>
                </c:pt>
                <c:pt idx="196">
                  <c:v>0.05</c:v>
                </c:pt>
                <c:pt idx="197">
                  <c:v>0.05</c:v>
                </c:pt>
                <c:pt idx="198">
                  <c:v>0.05</c:v>
                </c:pt>
                <c:pt idx="199">
                  <c:v>0.05</c:v>
                </c:pt>
                <c:pt idx="200">
                  <c:v>0.05</c:v>
                </c:pt>
                <c:pt idx="201">
                  <c:v>0.05</c:v>
                </c:pt>
                <c:pt idx="202">
                  <c:v>0.05</c:v>
                </c:pt>
                <c:pt idx="203">
                  <c:v>0.05</c:v>
                </c:pt>
                <c:pt idx="204">
                  <c:v>0.05</c:v>
                </c:pt>
                <c:pt idx="205">
                  <c:v>0.05</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numCache>
            </c:numRef>
          </c:val>
        </c:ser>
        <c:ser>
          <c:idx val="2"/>
          <c:order val="2"/>
          <c:tx>
            <c:strRef>
              <c:f>Feuil1!$D$1</c:f>
              <c:strCache>
                <c:ptCount val="1"/>
                <c:pt idx="0">
                  <c:v>Fed</c:v>
                </c:pt>
              </c:strCache>
            </c:strRef>
          </c:tx>
          <c:spPr>
            <a:ln>
              <a:solidFill>
                <a:schemeClr val="tx1"/>
              </a:solidFill>
              <a:prstDash val="sysDot"/>
            </a:ln>
          </c:spPr>
          <c:marker>
            <c:symbol val="none"/>
          </c:marker>
          <c:cat>
            <c:numRef>
              <c:f>Feuil1!$A$2:$A$245</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Feuil1!$D$2:$D$245</c:f>
              <c:numCache>
                <c:formatCode>0.00</c:formatCode>
                <c:ptCount val="244"/>
                <c:pt idx="0">
                  <c:v>4.75</c:v>
                </c:pt>
                <c:pt idx="1">
                  <c:v>4.75</c:v>
                </c:pt>
                <c:pt idx="2">
                  <c:v>4.75</c:v>
                </c:pt>
                <c:pt idx="3">
                  <c:v>4.75</c:v>
                </c:pt>
                <c:pt idx="4">
                  <c:v>4.75</c:v>
                </c:pt>
                <c:pt idx="5">
                  <c:v>4.75</c:v>
                </c:pt>
                <c:pt idx="6">
                  <c:v>5</c:v>
                </c:pt>
                <c:pt idx="7">
                  <c:v>5</c:v>
                </c:pt>
                <c:pt idx="8">
                  <c:v>5.25</c:v>
                </c:pt>
                <c:pt idx="9">
                  <c:v>5.25</c:v>
                </c:pt>
                <c:pt idx="10">
                  <c:v>5.25</c:v>
                </c:pt>
                <c:pt idx="11">
                  <c:v>5.5</c:v>
                </c:pt>
                <c:pt idx="12">
                  <c:v>5.5</c:v>
                </c:pt>
                <c:pt idx="13">
                  <c:v>5.75</c:v>
                </c:pt>
                <c:pt idx="14">
                  <c:v>5.75</c:v>
                </c:pt>
                <c:pt idx="15">
                  <c:v>6</c:v>
                </c:pt>
                <c:pt idx="16">
                  <c:v>6</c:v>
                </c:pt>
                <c:pt idx="17">
                  <c:v>6.5</c:v>
                </c:pt>
                <c:pt idx="18">
                  <c:v>6.5</c:v>
                </c:pt>
                <c:pt idx="19">
                  <c:v>6.5</c:v>
                </c:pt>
                <c:pt idx="20">
                  <c:v>6.5</c:v>
                </c:pt>
                <c:pt idx="21">
                  <c:v>6.5</c:v>
                </c:pt>
                <c:pt idx="22">
                  <c:v>6.5</c:v>
                </c:pt>
                <c:pt idx="23">
                  <c:v>6.5</c:v>
                </c:pt>
                <c:pt idx="24">
                  <c:v>6</c:v>
                </c:pt>
                <c:pt idx="25">
                  <c:v>5.5</c:v>
                </c:pt>
                <c:pt idx="26">
                  <c:v>5</c:v>
                </c:pt>
                <c:pt idx="27">
                  <c:v>4.5</c:v>
                </c:pt>
                <c:pt idx="28">
                  <c:v>4</c:v>
                </c:pt>
                <c:pt idx="29">
                  <c:v>4</c:v>
                </c:pt>
                <c:pt idx="30">
                  <c:v>3.75</c:v>
                </c:pt>
                <c:pt idx="31">
                  <c:v>3.5</c:v>
                </c:pt>
                <c:pt idx="32">
                  <c:v>3</c:v>
                </c:pt>
                <c:pt idx="33">
                  <c:v>2.5</c:v>
                </c:pt>
                <c:pt idx="34">
                  <c:v>2</c:v>
                </c:pt>
                <c:pt idx="35">
                  <c:v>1.75</c:v>
                </c:pt>
                <c:pt idx="36">
                  <c:v>1.75</c:v>
                </c:pt>
                <c:pt idx="37">
                  <c:v>1.75</c:v>
                </c:pt>
                <c:pt idx="38">
                  <c:v>1.75</c:v>
                </c:pt>
                <c:pt idx="39">
                  <c:v>1.75</c:v>
                </c:pt>
                <c:pt idx="40">
                  <c:v>1.75</c:v>
                </c:pt>
                <c:pt idx="41">
                  <c:v>1.75</c:v>
                </c:pt>
                <c:pt idx="42">
                  <c:v>1.75</c:v>
                </c:pt>
                <c:pt idx="43">
                  <c:v>1.75</c:v>
                </c:pt>
                <c:pt idx="44">
                  <c:v>1.75</c:v>
                </c:pt>
                <c:pt idx="45">
                  <c:v>1.75</c:v>
                </c:pt>
                <c:pt idx="46">
                  <c:v>1.25</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1.25</c:v>
                </c:pt>
                <c:pt idx="67">
                  <c:v>1.5</c:v>
                </c:pt>
                <c:pt idx="68">
                  <c:v>1.75</c:v>
                </c:pt>
                <c:pt idx="69">
                  <c:v>1.75</c:v>
                </c:pt>
                <c:pt idx="70">
                  <c:v>2</c:v>
                </c:pt>
                <c:pt idx="71">
                  <c:v>2.25</c:v>
                </c:pt>
                <c:pt idx="72">
                  <c:v>2.25</c:v>
                </c:pt>
                <c:pt idx="73">
                  <c:v>2.5</c:v>
                </c:pt>
                <c:pt idx="74">
                  <c:v>2.5</c:v>
                </c:pt>
                <c:pt idx="75">
                  <c:v>2.75</c:v>
                </c:pt>
                <c:pt idx="76">
                  <c:v>3</c:v>
                </c:pt>
                <c:pt idx="77">
                  <c:v>3</c:v>
                </c:pt>
                <c:pt idx="78">
                  <c:v>3.25</c:v>
                </c:pt>
                <c:pt idx="79">
                  <c:v>3.5</c:v>
                </c:pt>
                <c:pt idx="80">
                  <c:v>3.5</c:v>
                </c:pt>
                <c:pt idx="81">
                  <c:v>3.75</c:v>
                </c:pt>
                <c:pt idx="82">
                  <c:v>4</c:v>
                </c:pt>
                <c:pt idx="83">
                  <c:v>4.25</c:v>
                </c:pt>
                <c:pt idx="84">
                  <c:v>4.25</c:v>
                </c:pt>
                <c:pt idx="85">
                  <c:v>4.5</c:v>
                </c:pt>
                <c:pt idx="86">
                  <c:v>4.5</c:v>
                </c:pt>
                <c:pt idx="87">
                  <c:v>4.75</c:v>
                </c:pt>
                <c:pt idx="88">
                  <c:v>5</c:v>
                </c:pt>
                <c:pt idx="89">
                  <c:v>5</c:v>
                </c:pt>
                <c:pt idx="90">
                  <c:v>5.25</c:v>
                </c:pt>
                <c:pt idx="91">
                  <c:v>5.25</c:v>
                </c:pt>
                <c:pt idx="92">
                  <c:v>5.25</c:v>
                </c:pt>
                <c:pt idx="93">
                  <c:v>5.25</c:v>
                </c:pt>
                <c:pt idx="94">
                  <c:v>5.25</c:v>
                </c:pt>
                <c:pt idx="95">
                  <c:v>5.25</c:v>
                </c:pt>
                <c:pt idx="96">
                  <c:v>5.25</c:v>
                </c:pt>
                <c:pt idx="97">
                  <c:v>5.25</c:v>
                </c:pt>
                <c:pt idx="98">
                  <c:v>5.25</c:v>
                </c:pt>
                <c:pt idx="99">
                  <c:v>5.25</c:v>
                </c:pt>
                <c:pt idx="100">
                  <c:v>5.25</c:v>
                </c:pt>
                <c:pt idx="101">
                  <c:v>5.25</c:v>
                </c:pt>
                <c:pt idx="102">
                  <c:v>5.25</c:v>
                </c:pt>
                <c:pt idx="103">
                  <c:v>5.25</c:v>
                </c:pt>
                <c:pt idx="104">
                  <c:v>5.25</c:v>
                </c:pt>
                <c:pt idx="105">
                  <c:v>4.75</c:v>
                </c:pt>
                <c:pt idx="106">
                  <c:v>4.5</c:v>
                </c:pt>
                <c:pt idx="107">
                  <c:v>4.25</c:v>
                </c:pt>
                <c:pt idx="108">
                  <c:v>3.5</c:v>
                </c:pt>
                <c:pt idx="109">
                  <c:v>3</c:v>
                </c:pt>
                <c:pt idx="110">
                  <c:v>2.25</c:v>
                </c:pt>
                <c:pt idx="111">
                  <c:v>2.25</c:v>
                </c:pt>
                <c:pt idx="112">
                  <c:v>2</c:v>
                </c:pt>
                <c:pt idx="113">
                  <c:v>2</c:v>
                </c:pt>
                <c:pt idx="114">
                  <c:v>2</c:v>
                </c:pt>
                <c:pt idx="115">
                  <c:v>2</c:v>
                </c:pt>
                <c:pt idx="116">
                  <c:v>2</c:v>
                </c:pt>
                <c:pt idx="117">
                  <c:v>1.5</c:v>
                </c:pt>
                <c:pt idx="118">
                  <c:v>1</c:v>
                </c:pt>
                <c:pt idx="119">
                  <c:v>0.25</c:v>
                </c:pt>
                <c:pt idx="120">
                  <c:v>0.25</c:v>
                </c:pt>
                <c:pt idx="121">
                  <c:v>0.25</c:v>
                </c:pt>
                <c:pt idx="122">
                  <c:v>0.25</c:v>
                </c:pt>
                <c:pt idx="123">
                  <c:v>0.25</c:v>
                </c:pt>
                <c:pt idx="124">
                  <c:v>0.25</c:v>
                </c:pt>
                <c:pt idx="125">
                  <c:v>0.25</c:v>
                </c:pt>
                <c:pt idx="126">
                  <c:v>0.25</c:v>
                </c:pt>
                <c:pt idx="127">
                  <c:v>0.25</c:v>
                </c:pt>
                <c:pt idx="128">
                  <c:v>0.25</c:v>
                </c:pt>
                <c:pt idx="129">
                  <c:v>0.25</c:v>
                </c:pt>
                <c:pt idx="130">
                  <c:v>0.25</c:v>
                </c:pt>
                <c:pt idx="131">
                  <c:v>0.25</c:v>
                </c:pt>
                <c:pt idx="132">
                  <c:v>0.25</c:v>
                </c:pt>
                <c:pt idx="133">
                  <c:v>0.25</c:v>
                </c:pt>
                <c:pt idx="134">
                  <c:v>0.25</c:v>
                </c:pt>
                <c:pt idx="135">
                  <c:v>0.25</c:v>
                </c:pt>
                <c:pt idx="136">
                  <c:v>0.25</c:v>
                </c:pt>
                <c:pt idx="137">
                  <c:v>0.25</c:v>
                </c:pt>
                <c:pt idx="138">
                  <c:v>0.25</c:v>
                </c:pt>
                <c:pt idx="139">
                  <c:v>0.25</c:v>
                </c:pt>
                <c:pt idx="140">
                  <c:v>0.25</c:v>
                </c:pt>
                <c:pt idx="141">
                  <c:v>0.25</c:v>
                </c:pt>
                <c:pt idx="142">
                  <c:v>0.25</c:v>
                </c:pt>
                <c:pt idx="143">
                  <c:v>0.25</c:v>
                </c:pt>
                <c:pt idx="144">
                  <c:v>0.25</c:v>
                </c:pt>
                <c:pt idx="145">
                  <c:v>0.25</c:v>
                </c:pt>
                <c:pt idx="146">
                  <c:v>0.25</c:v>
                </c:pt>
                <c:pt idx="147">
                  <c:v>0.25</c:v>
                </c:pt>
                <c:pt idx="148">
                  <c:v>0.25</c:v>
                </c:pt>
                <c:pt idx="149">
                  <c:v>0.25</c:v>
                </c:pt>
                <c:pt idx="150">
                  <c:v>0.25</c:v>
                </c:pt>
                <c:pt idx="151">
                  <c:v>0.25</c:v>
                </c:pt>
                <c:pt idx="152">
                  <c:v>0.25</c:v>
                </c:pt>
                <c:pt idx="153">
                  <c:v>0.25</c:v>
                </c:pt>
                <c:pt idx="154">
                  <c:v>0.25</c:v>
                </c:pt>
                <c:pt idx="155">
                  <c:v>0.25</c:v>
                </c:pt>
                <c:pt idx="156">
                  <c:v>0.25</c:v>
                </c:pt>
                <c:pt idx="157">
                  <c:v>0.25</c:v>
                </c:pt>
                <c:pt idx="158">
                  <c:v>0.25</c:v>
                </c:pt>
                <c:pt idx="159">
                  <c:v>0.25</c:v>
                </c:pt>
                <c:pt idx="160">
                  <c:v>0.25</c:v>
                </c:pt>
                <c:pt idx="161">
                  <c:v>0.25</c:v>
                </c:pt>
                <c:pt idx="162">
                  <c:v>0.25</c:v>
                </c:pt>
                <c:pt idx="163">
                  <c:v>0.25</c:v>
                </c:pt>
                <c:pt idx="164">
                  <c:v>0.25</c:v>
                </c:pt>
                <c:pt idx="165">
                  <c:v>0.25</c:v>
                </c:pt>
                <c:pt idx="166">
                  <c:v>0.25</c:v>
                </c:pt>
                <c:pt idx="167">
                  <c:v>0.25</c:v>
                </c:pt>
                <c:pt idx="168">
                  <c:v>0.25</c:v>
                </c:pt>
                <c:pt idx="169">
                  <c:v>0.25</c:v>
                </c:pt>
                <c:pt idx="170">
                  <c:v>0.25</c:v>
                </c:pt>
                <c:pt idx="171">
                  <c:v>0.25</c:v>
                </c:pt>
                <c:pt idx="172">
                  <c:v>0.25</c:v>
                </c:pt>
                <c:pt idx="173">
                  <c:v>0.25</c:v>
                </c:pt>
                <c:pt idx="174">
                  <c:v>0.25</c:v>
                </c:pt>
                <c:pt idx="175">
                  <c:v>0.25</c:v>
                </c:pt>
                <c:pt idx="176">
                  <c:v>0.25</c:v>
                </c:pt>
                <c:pt idx="177">
                  <c:v>0.25</c:v>
                </c:pt>
                <c:pt idx="178">
                  <c:v>0.25</c:v>
                </c:pt>
                <c:pt idx="179">
                  <c:v>0.25</c:v>
                </c:pt>
                <c:pt idx="180">
                  <c:v>0.25</c:v>
                </c:pt>
                <c:pt idx="181">
                  <c:v>0.25</c:v>
                </c:pt>
                <c:pt idx="182">
                  <c:v>0.25</c:v>
                </c:pt>
                <c:pt idx="183">
                  <c:v>0.25</c:v>
                </c:pt>
                <c:pt idx="184">
                  <c:v>0.25</c:v>
                </c:pt>
                <c:pt idx="185">
                  <c:v>0.25</c:v>
                </c:pt>
                <c:pt idx="186">
                  <c:v>0.25</c:v>
                </c:pt>
                <c:pt idx="187">
                  <c:v>0.25</c:v>
                </c:pt>
                <c:pt idx="188">
                  <c:v>0.25</c:v>
                </c:pt>
                <c:pt idx="189">
                  <c:v>0.25</c:v>
                </c:pt>
                <c:pt idx="190">
                  <c:v>0.25</c:v>
                </c:pt>
                <c:pt idx="191">
                  <c:v>0.25</c:v>
                </c:pt>
                <c:pt idx="192">
                  <c:v>0.25</c:v>
                </c:pt>
                <c:pt idx="193">
                  <c:v>0.25</c:v>
                </c:pt>
                <c:pt idx="194">
                  <c:v>0.25</c:v>
                </c:pt>
                <c:pt idx="195">
                  <c:v>0.25</c:v>
                </c:pt>
                <c:pt idx="196">
                  <c:v>0.25</c:v>
                </c:pt>
                <c:pt idx="197">
                  <c:v>0.25</c:v>
                </c:pt>
                <c:pt idx="198">
                  <c:v>0.25</c:v>
                </c:pt>
                <c:pt idx="199">
                  <c:v>0.25</c:v>
                </c:pt>
                <c:pt idx="200">
                  <c:v>0.25</c:v>
                </c:pt>
                <c:pt idx="201">
                  <c:v>0.25</c:v>
                </c:pt>
                <c:pt idx="202">
                  <c:v>0.25</c:v>
                </c:pt>
                <c:pt idx="203">
                  <c:v>0.5</c:v>
                </c:pt>
                <c:pt idx="204">
                  <c:v>0.5</c:v>
                </c:pt>
                <c:pt idx="205">
                  <c:v>0.5</c:v>
                </c:pt>
                <c:pt idx="206">
                  <c:v>0.5</c:v>
                </c:pt>
                <c:pt idx="207">
                  <c:v>0.5</c:v>
                </c:pt>
                <c:pt idx="208">
                  <c:v>0.5</c:v>
                </c:pt>
                <c:pt idx="209">
                  <c:v>0.5</c:v>
                </c:pt>
                <c:pt idx="210">
                  <c:v>0.5</c:v>
                </c:pt>
                <c:pt idx="211">
                  <c:v>0.5</c:v>
                </c:pt>
                <c:pt idx="212">
                  <c:v>0.5</c:v>
                </c:pt>
                <c:pt idx="213">
                  <c:v>0.5</c:v>
                </c:pt>
                <c:pt idx="214">
                  <c:v>0.5</c:v>
                </c:pt>
                <c:pt idx="215">
                  <c:v>0.75000000000000133</c:v>
                </c:pt>
                <c:pt idx="216">
                  <c:v>0.75000000000000133</c:v>
                </c:pt>
                <c:pt idx="217">
                  <c:v>0.75000000000000133</c:v>
                </c:pt>
                <c:pt idx="218">
                  <c:v>1</c:v>
                </c:pt>
                <c:pt idx="219">
                  <c:v>1</c:v>
                </c:pt>
                <c:pt idx="220">
                  <c:v>1</c:v>
                </c:pt>
                <c:pt idx="221">
                  <c:v>1.25</c:v>
                </c:pt>
                <c:pt idx="222">
                  <c:v>1.25</c:v>
                </c:pt>
                <c:pt idx="223">
                  <c:v>1.25</c:v>
                </c:pt>
                <c:pt idx="224">
                  <c:v>1.25</c:v>
                </c:pt>
                <c:pt idx="225">
                  <c:v>1.25</c:v>
                </c:pt>
                <c:pt idx="226">
                  <c:v>1.25</c:v>
                </c:pt>
                <c:pt idx="227">
                  <c:v>1.5</c:v>
                </c:pt>
                <c:pt idx="228">
                  <c:v>1.5</c:v>
                </c:pt>
                <c:pt idx="229">
                  <c:v>1.5</c:v>
                </c:pt>
                <c:pt idx="230">
                  <c:v>1.75</c:v>
                </c:pt>
                <c:pt idx="231">
                  <c:v>1.75</c:v>
                </c:pt>
                <c:pt idx="232">
                  <c:v>1.75</c:v>
                </c:pt>
                <c:pt idx="233">
                  <c:v>2</c:v>
                </c:pt>
                <c:pt idx="234">
                  <c:v>2</c:v>
                </c:pt>
                <c:pt idx="235">
                  <c:v>2</c:v>
                </c:pt>
                <c:pt idx="236">
                  <c:v>2</c:v>
                </c:pt>
                <c:pt idx="237">
                  <c:v>2.25</c:v>
                </c:pt>
                <c:pt idx="238">
                  <c:v>2.25</c:v>
                </c:pt>
                <c:pt idx="239">
                  <c:v>2.25</c:v>
                </c:pt>
                <c:pt idx="240">
                  <c:v>2.5</c:v>
                </c:pt>
                <c:pt idx="241">
                  <c:v>2.5</c:v>
                </c:pt>
                <c:pt idx="242">
                  <c:v>2.5</c:v>
                </c:pt>
                <c:pt idx="243">
                  <c:v>2.5</c:v>
                </c:pt>
              </c:numCache>
            </c:numRef>
          </c:val>
        </c:ser>
        <c:ser>
          <c:idx val="3"/>
          <c:order val="3"/>
          <c:tx>
            <c:strRef>
              <c:f>Feuil1!$E$1</c:f>
              <c:strCache>
                <c:ptCount val="1"/>
                <c:pt idx="0">
                  <c:v>Banque d'Angleterre</c:v>
                </c:pt>
              </c:strCache>
            </c:strRef>
          </c:tx>
          <c:spPr>
            <a:ln>
              <a:solidFill>
                <a:sysClr val="window" lastClr="FFFFFF">
                  <a:lumMod val="75000"/>
                </a:sysClr>
              </a:solidFill>
              <a:prstDash val="sysDot"/>
            </a:ln>
          </c:spPr>
          <c:marker>
            <c:symbol val="none"/>
          </c:marker>
          <c:cat>
            <c:numRef>
              <c:f>Feuil1!$A$2:$A$245</c:f>
              <c:numCache>
                <c:formatCode>mmm\-yy</c:formatCode>
                <c:ptCount val="244"/>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numCache>
            </c:numRef>
          </c:cat>
          <c:val>
            <c:numRef>
              <c:f>Feuil1!$E$2:$E$245</c:f>
              <c:numCache>
                <c:formatCode>0.00</c:formatCode>
                <c:ptCount val="244"/>
                <c:pt idx="0">
                  <c:v>6</c:v>
                </c:pt>
                <c:pt idx="1">
                  <c:v>5.5</c:v>
                </c:pt>
                <c:pt idx="2">
                  <c:v>5.5</c:v>
                </c:pt>
                <c:pt idx="3">
                  <c:v>5.25</c:v>
                </c:pt>
                <c:pt idx="4">
                  <c:v>5.25</c:v>
                </c:pt>
                <c:pt idx="5">
                  <c:v>5</c:v>
                </c:pt>
                <c:pt idx="6">
                  <c:v>5</c:v>
                </c:pt>
                <c:pt idx="7">
                  <c:v>5</c:v>
                </c:pt>
                <c:pt idx="8">
                  <c:v>5.25</c:v>
                </c:pt>
                <c:pt idx="9">
                  <c:v>5.25</c:v>
                </c:pt>
                <c:pt idx="10">
                  <c:v>5.5</c:v>
                </c:pt>
                <c:pt idx="11">
                  <c:v>5.5</c:v>
                </c:pt>
                <c:pt idx="12">
                  <c:v>5.75</c:v>
                </c:pt>
                <c:pt idx="13">
                  <c:v>6</c:v>
                </c:pt>
                <c:pt idx="14">
                  <c:v>6</c:v>
                </c:pt>
                <c:pt idx="15">
                  <c:v>6</c:v>
                </c:pt>
                <c:pt idx="16">
                  <c:v>6</c:v>
                </c:pt>
                <c:pt idx="17">
                  <c:v>6</c:v>
                </c:pt>
                <c:pt idx="18">
                  <c:v>6</c:v>
                </c:pt>
                <c:pt idx="19">
                  <c:v>6</c:v>
                </c:pt>
                <c:pt idx="20">
                  <c:v>6</c:v>
                </c:pt>
                <c:pt idx="21">
                  <c:v>6</c:v>
                </c:pt>
                <c:pt idx="22">
                  <c:v>6</c:v>
                </c:pt>
                <c:pt idx="23">
                  <c:v>6</c:v>
                </c:pt>
                <c:pt idx="24">
                  <c:v>6</c:v>
                </c:pt>
                <c:pt idx="25">
                  <c:v>5.75</c:v>
                </c:pt>
                <c:pt idx="26">
                  <c:v>5.75</c:v>
                </c:pt>
                <c:pt idx="27">
                  <c:v>5.5</c:v>
                </c:pt>
                <c:pt idx="28">
                  <c:v>5.25</c:v>
                </c:pt>
                <c:pt idx="29">
                  <c:v>5.25</c:v>
                </c:pt>
                <c:pt idx="30">
                  <c:v>5.25</c:v>
                </c:pt>
                <c:pt idx="31">
                  <c:v>5</c:v>
                </c:pt>
                <c:pt idx="32">
                  <c:v>4.75</c:v>
                </c:pt>
                <c:pt idx="33">
                  <c:v>4.5</c:v>
                </c:pt>
                <c:pt idx="34">
                  <c:v>4</c:v>
                </c:pt>
                <c:pt idx="35">
                  <c:v>4</c:v>
                </c:pt>
                <c:pt idx="36">
                  <c:v>4</c:v>
                </c:pt>
                <c:pt idx="37">
                  <c:v>4</c:v>
                </c:pt>
                <c:pt idx="38">
                  <c:v>4</c:v>
                </c:pt>
                <c:pt idx="39">
                  <c:v>4</c:v>
                </c:pt>
                <c:pt idx="40">
                  <c:v>4</c:v>
                </c:pt>
                <c:pt idx="41">
                  <c:v>4</c:v>
                </c:pt>
                <c:pt idx="42">
                  <c:v>4</c:v>
                </c:pt>
                <c:pt idx="43">
                  <c:v>4</c:v>
                </c:pt>
                <c:pt idx="44">
                  <c:v>4</c:v>
                </c:pt>
                <c:pt idx="45">
                  <c:v>4</c:v>
                </c:pt>
                <c:pt idx="46">
                  <c:v>4</c:v>
                </c:pt>
                <c:pt idx="47">
                  <c:v>4</c:v>
                </c:pt>
                <c:pt idx="48">
                  <c:v>4</c:v>
                </c:pt>
                <c:pt idx="49">
                  <c:v>3.75</c:v>
                </c:pt>
                <c:pt idx="50">
                  <c:v>3.75</c:v>
                </c:pt>
                <c:pt idx="51">
                  <c:v>3.75</c:v>
                </c:pt>
                <c:pt idx="52">
                  <c:v>3.75</c:v>
                </c:pt>
                <c:pt idx="53">
                  <c:v>3.75</c:v>
                </c:pt>
                <c:pt idx="54">
                  <c:v>3.5</c:v>
                </c:pt>
                <c:pt idx="55">
                  <c:v>3.5</c:v>
                </c:pt>
                <c:pt idx="56">
                  <c:v>3.5</c:v>
                </c:pt>
                <c:pt idx="57">
                  <c:v>3.5</c:v>
                </c:pt>
                <c:pt idx="58">
                  <c:v>3.75</c:v>
                </c:pt>
                <c:pt idx="59">
                  <c:v>3.75</c:v>
                </c:pt>
                <c:pt idx="60">
                  <c:v>3.75</c:v>
                </c:pt>
                <c:pt idx="61">
                  <c:v>4</c:v>
                </c:pt>
                <c:pt idx="62">
                  <c:v>4</c:v>
                </c:pt>
                <c:pt idx="63">
                  <c:v>4</c:v>
                </c:pt>
                <c:pt idx="64">
                  <c:v>4.25</c:v>
                </c:pt>
                <c:pt idx="65">
                  <c:v>4.5</c:v>
                </c:pt>
                <c:pt idx="66">
                  <c:v>4.5</c:v>
                </c:pt>
                <c:pt idx="67">
                  <c:v>4.75</c:v>
                </c:pt>
                <c:pt idx="68">
                  <c:v>4.75</c:v>
                </c:pt>
                <c:pt idx="69">
                  <c:v>4.75</c:v>
                </c:pt>
                <c:pt idx="70">
                  <c:v>4.75</c:v>
                </c:pt>
                <c:pt idx="71">
                  <c:v>4.75</c:v>
                </c:pt>
                <c:pt idx="72">
                  <c:v>4.75</c:v>
                </c:pt>
                <c:pt idx="73">
                  <c:v>4.75</c:v>
                </c:pt>
                <c:pt idx="74">
                  <c:v>4.75</c:v>
                </c:pt>
                <c:pt idx="75">
                  <c:v>4.75</c:v>
                </c:pt>
                <c:pt idx="76">
                  <c:v>4.75</c:v>
                </c:pt>
                <c:pt idx="77">
                  <c:v>4.75</c:v>
                </c:pt>
                <c:pt idx="78">
                  <c:v>4.75</c:v>
                </c:pt>
                <c:pt idx="79">
                  <c:v>4.5</c:v>
                </c:pt>
                <c:pt idx="80">
                  <c:v>4.5</c:v>
                </c:pt>
                <c:pt idx="81">
                  <c:v>4.5</c:v>
                </c:pt>
                <c:pt idx="82">
                  <c:v>4.5</c:v>
                </c:pt>
                <c:pt idx="83">
                  <c:v>4.5</c:v>
                </c:pt>
                <c:pt idx="84">
                  <c:v>4.5</c:v>
                </c:pt>
                <c:pt idx="85">
                  <c:v>4.5</c:v>
                </c:pt>
                <c:pt idx="86">
                  <c:v>4.5</c:v>
                </c:pt>
                <c:pt idx="87">
                  <c:v>4.5</c:v>
                </c:pt>
                <c:pt idx="88">
                  <c:v>4.5</c:v>
                </c:pt>
                <c:pt idx="89">
                  <c:v>4.5</c:v>
                </c:pt>
                <c:pt idx="90">
                  <c:v>4.5</c:v>
                </c:pt>
                <c:pt idx="91">
                  <c:v>4.75</c:v>
                </c:pt>
                <c:pt idx="92">
                  <c:v>4.75</c:v>
                </c:pt>
                <c:pt idx="93">
                  <c:v>4.75</c:v>
                </c:pt>
                <c:pt idx="94">
                  <c:v>5</c:v>
                </c:pt>
                <c:pt idx="95">
                  <c:v>5</c:v>
                </c:pt>
                <c:pt idx="96">
                  <c:v>5.25</c:v>
                </c:pt>
                <c:pt idx="97">
                  <c:v>5.25</c:v>
                </c:pt>
                <c:pt idx="98">
                  <c:v>5.25</c:v>
                </c:pt>
                <c:pt idx="99">
                  <c:v>5.25</c:v>
                </c:pt>
                <c:pt idx="100">
                  <c:v>5.5</c:v>
                </c:pt>
                <c:pt idx="101">
                  <c:v>5.5</c:v>
                </c:pt>
                <c:pt idx="102">
                  <c:v>5.75</c:v>
                </c:pt>
                <c:pt idx="103">
                  <c:v>5.75</c:v>
                </c:pt>
                <c:pt idx="104">
                  <c:v>5.75</c:v>
                </c:pt>
                <c:pt idx="105">
                  <c:v>5.75</c:v>
                </c:pt>
                <c:pt idx="106">
                  <c:v>5.75</c:v>
                </c:pt>
                <c:pt idx="107">
                  <c:v>5.5</c:v>
                </c:pt>
                <c:pt idx="108">
                  <c:v>5.5</c:v>
                </c:pt>
                <c:pt idx="109">
                  <c:v>5.25</c:v>
                </c:pt>
                <c:pt idx="110">
                  <c:v>5.25</c:v>
                </c:pt>
                <c:pt idx="111">
                  <c:v>5</c:v>
                </c:pt>
                <c:pt idx="112">
                  <c:v>5</c:v>
                </c:pt>
                <c:pt idx="113">
                  <c:v>5</c:v>
                </c:pt>
                <c:pt idx="114">
                  <c:v>5</c:v>
                </c:pt>
                <c:pt idx="115">
                  <c:v>5</c:v>
                </c:pt>
                <c:pt idx="116">
                  <c:v>5</c:v>
                </c:pt>
                <c:pt idx="117">
                  <c:v>4.5</c:v>
                </c:pt>
                <c:pt idx="118">
                  <c:v>3</c:v>
                </c:pt>
                <c:pt idx="119">
                  <c:v>2</c:v>
                </c:pt>
                <c:pt idx="120">
                  <c:v>1.5</c:v>
                </c:pt>
                <c:pt idx="121">
                  <c:v>1</c:v>
                </c:pt>
                <c:pt idx="122">
                  <c:v>0.5</c:v>
                </c:pt>
                <c:pt idx="123">
                  <c:v>0.5</c:v>
                </c:pt>
                <c:pt idx="124">
                  <c:v>0.5</c:v>
                </c:pt>
                <c:pt idx="125">
                  <c:v>0.5</c:v>
                </c:pt>
                <c:pt idx="126">
                  <c:v>0.5</c:v>
                </c:pt>
                <c:pt idx="127">
                  <c:v>0.5</c:v>
                </c:pt>
                <c:pt idx="128">
                  <c:v>0.5</c:v>
                </c:pt>
                <c:pt idx="129">
                  <c:v>0.5</c:v>
                </c:pt>
                <c:pt idx="130">
                  <c:v>0.5</c:v>
                </c:pt>
                <c:pt idx="131">
                  <c:v>0.5</c:v>
                </c:pt>
                <c:pt idx="132">
                  <c:v>0.5</c:v>
                </c:pt>
                <c:pt idx="133">
                  <c:v>0.5</c:v>
                </c:pt>
                <c:pt idx="134">
                  <c:v>0.5</c:v>
                </c:pt>
                <c:pt idx="135">
                  <c:v>0.5</c:v>
                </c:pt>
                <c:pt idx="136">
                  <c:v>0.5</c:v>
                </c:pt>
                <c:pt idx="137">
                  <c:v>0.5</c:v>
                </c:pt>
                <c:pt idx="138">
                  <c:v>0.5</c:v>
                </c:pt>
                <c:pt idx="139">
                  <c:v>0.5</c:v>
                </c:pt>
                <c:pt idx="140">
                  <c:v>0.5</c:v>
                </c:pt>
                <c:pt idx="141">
                  <c:v>0.5</c:v>
                </c:pt>
                <c:pt idx="142">
                  <c:v>0.5</c:v>
                </c:pt>
                <c:pt idx="143">
                  <c:v>0.5</c:v>
                </c:pt>
                <c:pt idx="144">
                  <c:v>0.5</c:v>
                </c:pt>
                <c:pt idx="145">
                  <c:v>0.5</c:v>
                </c:pt>
                <c:pt idx="146">
                  <c:v>0.5</c:v>
                </c:pt>
                <c:pt idx="147">
                  <c:v>0.5</c:v>
                </c:pt>
                <c:pt idx="148">
                  <c:v>0.5</c:v>
                </c:pt>
                <c:pt idx="149">
                  <c:v>0.5</c:v>
                </c:pt>
                <c:pt idx="150">
                  <c:v>0.5</c:v>
                </c:pt>
                <c:pt idx="151">
                  <c:v>0.5</c:v>
                </c:pt>
                <c:pt idx="152">
                  <c:v>0.5</c:v>
                </c:pt>
                <c:pt idx="153">
                  <c:v>0.5</c:v>
                </c:pt>
                <c:pt idx="154">
                  <c:v>0.5</c:v>
                </c:pt>
                <c:pt idx="155">
                  <c:v>0.5</c:v>
                </c:pt>
                <c:pt idx="156">
                  <c:v>0.5</c:v>
                </c:pt>
                <c:pt idx="157">
                  <c:v>0.5</c:v>
                </c:pt>
                <c:pt idx="158">
                  <c:v>0.5</c:v>
                </c:pt>
                <c:pt idx="159">
                  <c:v>0.5</c:v>
                </c:pt>
                <c:pt idx="160">
                  <c:v>0.5</c:v>
                </c:pt>
                <c:pt idx="161">
                  <c:v>0.5</c:v>
                </c:pt>
                <c:pt idx="162">
                  <c:v>0.5</c:v>
                </c:pt>
                <c:pt idx="163">
                  <c:v>0.5</c:v>
                </c:pt>
                <c:pt idx="164">
                  <c:v>0.5</c:v>
                </c:pt>
                <c:pt idx="165">
                  <c:v>0.5</c:v>
                </c:pt>
                <c:pt idx="166">
                  <c:v>0.5</c:v>
                </c:pt>
                <c:pt idx="167">
                  <c:v>0.5</c:v>
                </c:pt>
                <c:pt idx="168">
                  <c:v>0.5</c:v>
                </c:pt>
                <c:pt idx="169">
                  <c:v>0.5</c:v>
                </c:pt>
                <c:pt idx="170">
                  <c:v>0.5</c:v>
                </c:pt>
                <c:pt idx="171">
                  <c:v>0.5</c:v>
                </c:pt>
                <c:pt idx="172">
                  <c:v>0.5</c:v>
                </c:pt>
                <c:pt idx="173">
                  <c:v>0.5</c:v>
                </c:pt>
                <c:pt idx="174">
                  <c:v>0.5</c:v>
                </c:pt>
                <c:pt idx="175">
                  <c:v>0.5</c:v>
                </c:pt>
                <c:pt idx="176">
                  <c:v>0.5</c:v>
                </c:pt>
                <c:pt idx="177">
                  <c:v>0.5</c:v>
                </c:pt>
                <c:pt idx="178">
                  <c:v>0.5</c:v>
                </c:pt>
                <c:pt idx="179">
                  <c:v>0.5</c:v>
                </c:pt>
                <c:pt idx="180">
                  <c:v>0.5</c:v>
                </c:pt>
                <c:pt idx="181">
                  <c:v>0.5</c:v>
                </c:pt>
                <c:pt idx="182">
                  <c:v>0.5</c:v>
                </c:pt>
                <c:pt idx="183">
                  <c:v>0.5</c:v>
                </c:pt>
                <c:pt idx="184">
                  <c:v>0.5</c:v>
                </c:pt>
                <c:pt idx="185">
                  <c:v>0.5</c:v>
                </c:pt>
                <c:pt idx="186">
                  <c:v>0.5</c:v>
                </c:pt>
                <c:pt idx="187">
                  <c:v>0.5</c:v>
                </c:pt>
                <c:pt idx="188">
                  <c:v>0.5</c:v>
                </c:pt>
                <c:pt idx="189">
                  <c:v>0.5</c:v>
                </c:pt>
                <c:pt idx="190">
                  <c:v>0.5</c:v>
                </c:pt>
                <c:pt idx="191">
                  <c:v>0.5</c:v>
                </c:pt>
                <c:pt idx="192">
                  <c:v>0.5</c:v>
                </c:pt>
                <c:pt idx="193">
                  <c:v>0.5</c:v>
                </c:pt>
                <c:pt idx="194">
                  <c:v>0.5</c:v>
                </c:pt>
                <c:pt idx="195">
                  <c:v>0.5</c:v>
                </c:pt>
                <c:pt idx="196">
                  <c:v>0.5</c:v>
                </c:pt>
                <c:pt idx="197">
                  <c:v>0.5</c:v>
                </c:pt>
                <c:pt idx="198">
                  <c:v>0.5</c:v>
                </c:pt>
                <c:pt idx="199">
                  <c:v>0.5</c:v>
                </c:pt>
                <c:pt idx="200">
                  <c:v>0.5</c:v>
                </c:pt>
                <c:pt idx="201">
                  <c:v>0.5</c:v>
                </c:pt>
                <c:pt idx="202">
                  <c:v>0.5</c:v>
                </c:pt>
                <c:pt idx="203">
                  <c:v>0.5</c:v>
                </c:pt>
                <c:pt idx="204">
                  <c:v>0.5</c:v>
                </c:pt>
                <c:pt idx="205">
                  <c:v>0.5</c:v>
                </c:pt>
                <c:pt idx="206">
                  <c:v>0.5</c:v>
                </c:pt>
                <c:pt idx="207">
                  <c:v>0.5</c:v>
                </c:pt>
                <c:pt idx="208">
                  <c:v>0.5</c:v>
                </c:pt>
                <c:pt idx="209">
                  <c:v>0.5</c:v>
                </c:pt>
                <c:pt idx="210">
                  <c:v>0.5</c:v>
                </c:pt>
                <c:pt idx="211">
                  <c:v>0.25</c:v>
                </c:pt>
                <c:pt idx="212">
                  <c:v>0.25</c:v>
                </c:pt>
                <c:pt idx="213">
                  <c:v>0.25</c:v>
                </c:pt>
                <c:pt idx="214">
                  <c:v>0.25</c:v>
                </c:pt>
                <c:pt idx="215">
                  <c:v>0.25</c:v>
                </c:pt>
                <c:pt idx="216">
                  <c:v>0.25</c:v>
                </c:pt>
                <c:pt idx="217">
                  <c:v>0.25</c:v>
                </c:pt>
                <c:pt idx="218">
                  <c:v>0.25</c:v>
                </c:pt>
                <c:pt idx="219">
                  <c:v>0.25</c:v>
                </c:pt>
                <c:pt idx="220">
                  <c:v>0.25</c:v>
                </c:pt>
                <c:pt idx="221">
                  <c:v>0.25</c:v>
                </c:pt>
                <c:pt idx="222">
                  <c:v>0.25</c:v>
                </c:pt>
                <c:pt idx="223">
                  <c:v>0.25</c:v>
                </c:pt>
                <c:pt idx="224">
                  <c:v>0.25</c:v>
                </c:pt>
                <c:pt idx="225">
                  <c:v>0.25</c:v>
                </c:pt>
                <c:pt idx="226">
                  <c:v>0.5</c:v>
                </c:pt>
                <c:pt idx="227">
                  <c:v>0.5</c:v>
                </c:pt>
                <c:pt idx="228">
                  <c:v>0.5</c:v>
                </c:pt>
                <c:pt idx="229">
                  <c:v>0.5</c:v>
                </c:pt>
                <c:pt idx="230">
                  <c:v>0.5</c:v>
                </c:pt>
                <c:pt idx="231">
                  <c:v>0.5</c:v>
                </c:pt>
                <c:pt idx="232">
                  <c:v>0.5</c:v>
                </c:pt>
                <c:pt idx="233">
                  <c:v>0.5</c:v>
                </c:pt>
                <c:pt idx="234">
                  <c:v>0.5</c:v>
                </c:pt>
                <c:pt idx="235">
                  <c:v>0.75000000000000133</c:v>
                </c:pt>
                <c:pt idx="236">
                  <c:v>0.75000000000000133</c:v>
                </c:pt>
                <c:pt idx="237">
                  <c:v>0.75000000000000133</c:v>
                </c:pt>
                <c:pt idx="238">
                  <c:v>0.75000000000000133</c:v>
                </c:pt>
                <c:pt idx="239">
                  <c:v>0.75000000000000133</c:v>
                </c:pt>
                <c:pt idx="240">
                  <c:v>0.75000000000000133</c:v>
                </c:pt>
                <c:pt idx="241">
                  <c:v>0.75000000000000133</c:v>
                </c:pt>
                <c:pt idx="242">
                  <c:v>0.75000000000000133</c:v>
                </c:pt>
                <c:pt idx="243">
                  <c:v>0.75000000000000133</c:v>
                </c:pt>
              </c:numCache>
            </c:numRef>
          </c:val>
        </c:ser>
        <c:marker val="1"/>
        <c:axId val="159270400"/>
        <c:axId val="159271936"/>
      </c:lineChart>
      <c:dateAx>
        <c:axId val="159270400"/>
        <c:scaling>
          <c:orientation val="minMax"/>
        </c:scaling>
        <c:axPos val="b"/>
        <c:numFmt formatCode="mmm\-yy" sourceLinked="1"/>
        <c:tickLblPos val="nextTo"/>
        <c:txPr>
          <a:bodyPr/>
          <a:lstStyle/>
          <a:p>
            <a:pPr>
              <a:defRPr sz="600"/>
            </a:pPr>
            <a:endParaRPr lang="fr-FR"/>
          </a:p>
        </c:txPr>
        <c:crossAx val="159271936"/>
        <c:crossesAt val="-1"/>
        <c:auto val="1"/>
        <c:lblOffset val="100"/>
      </c:dateAx>
      <c:valAx>
        <c:axId val="159271936"/>
        <c:scaling>
          <c:orientation val="minMax"/>
        </c:scaling>
        <c:axPos val="l"/>
        <c:majorGridlines/>
        <c:minorGridlines/>
        <c:numFmt formatCode="General" sourceLinked="1"/>
        <c:tickLblPos val="nextTo"/>
        <c:txPr>
          <a:bodyPr/>
          <a:lstStyle/>
          <a:p>
            <a:pPr>
              <a:defRPr sz="600"/>
            </a:pPr>
            <a:endParaRPr lang="fr-FR"/>
          </a:p>
        </c:txPr>
        <c:crossAx val="159270400"/>
        <c:crosses val="autoZero"/>
        <c:crossBetween val="between"/>
      </c:valAx>
    </c:plotArea>
    <c:legend>
      <c:legendPos val="r"/>
      <c:layout>
        <c:manualLayout>
          <c:xMode val="edge"/>
          <c:yMode val="edge"/>
          <c:x val="0.71607503157668673"/>
          <c:y val="7.145510988672106E-2"/>
          <c:w val="0.19928333019805974"/>
          <c:h val="0.13646298390246986"/>
        </c:manualLayout>
      </c:layout>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3.2635940985192666E-2"/>
          <c:y val="2.319064163976892E-2"/>
          <c:w val="0.96171314933756147"/>
          <c:h val="0.95361871672046261"/>
        </c:manualLayout>
      </c:layout>
      <c:lineChart>
        <c:grouping val="standard"/>
        <c:ser>
          <c:idx val="0"/>
          <c:order val="0"/>
          <c:tx>
            <c:strRef>
              <c:f>valeurs_mensuelles!$B$2</c:f>
              <c:strCache>
                <c:ptCount val="1"/>
                <c:pt idx="0">
                  <c:v>Taux d'inflation en France en glissement annuel</c:v>
                </c:pt>
              </c:strCache>
            </c:strRef>
          </c:tx>
          <c:spPr>
            <a:ln>
              <a:solidFill>
                <a:schemeClr val="tx1"/>
              </a:solidFill>
            </a:ln>
          </c:spPr>
          <c:marker>
            <c:symbol val="none"/>
          </c:marker>
          <c:cat>
            <c:strRef>
              <c:f>valeurs_mensuelles!$A$4:$A$152</c:f>
              <c:strCache>
                <c:ptCount val="149"/>
                <c:pt idx="0">
                  <c:v>2007-01</c:v>
                </c:pt>
                <c:pt idx="1">
                  <c:v>2007-02</c:v>
                </c:pt>
                <c:pt idx="2">
                  <c:v>2007-03</c:v>
                </c:pt>
                <c:pt idx="3">
                  <c:v>2007-04</c:v>
                </c:pt>
                <c:pt idx="4">
                  <c:v>2007-05</c:v>
                </c:pt>
                <c:pt idx="5">
                  <c:v>2007-06</c:v>
                </c:pt>
                <c:pt idx="6">
                  <c:v>2007-07</c:v>
                </c:pt>
                <c:pt idx="7">
                  <c:v>2007-08</c:v>
                </c:pt>
                <c:pt idx="8">
                  <c:v>2007-09</c:v>
                </c:pt>
                <c:pt idx="9">
                  <c:v>2007-10</c:v>
                </c:pt>
                <c:pt idx="10">
                  <c:v>2007-11</c:v>
                </c:pt>
                <c:pt idx="11">
                  <c:v>2007-12</c:v>
                </c:pt>
                <c:pt idx="12">
                  <c:v>2008-01</c:v>
                </c:pt>
                <c:pt idx="13">
                  <c:v>2008-02</c:v>
                </c:pt>
                <c:pt idx="14">
                  <c:v>2008-03</c:v>
                </c:pt>
                <c:pt idx="15">
                  <c:v>2008-04</c:v>
                </c:pt>
                <c:pt idx="16">
                  <c:v>2008-05</c:v>
                </c:pt>
                <c:pt idx="17">
                  <c:v>2008-06</c:v>
                </c:pt>
                <c:pt idx="18">
                  <c:v>2008-07</c:v>
                </c:pt>
                <c:pt idx="19">
                  <c:v>2008-08</c:v>
                </c:pt>
                <c:pt idx="20">
                  <c:v>2008-09</c:v>
                </c:pt>
                <c:pt idx="21">
                  <c:v>2008-10</c:v>
                </c:pt>
                <c:pt idx="22">
                  <c:v>2008-11</c:v>
                </c:pt>
                <c:pt idx="23">
                  <c:v>2008-12</c:v>
                </c:pt>
                <c:pt idx="24">
                  <c:v>2009-01</c:v>
                </c:pt>
                <c:pt idx="25">
                  <c:v>2009-02</c:v>
                </c:pt>
                <c:pt idx="26">
                  <c:v>2009-03</c:v>
                </c:pt>
                <c:pt idx="27">
                  <c:v>2009-04</c:v>
                </c:pt>
                <c:pt idx="28">
                  <c:v>2009-05</c:v>
                </c:pt>
                <c:pt idx="29">
                  <c:v>2009-06</c:v>
                </c:pt>
                <c:pt idx="30">
                  <c:v>2009-07</c:v>
                </c:pt>
                <c:pt idx="31">
                  <c:v>2009-08</c:v>
                </c:pt>
                <c:pt idx="32">
                  <c:v>2009-09</c:v>
                </c:pt>
                <c:pt idx="33">
                  <c:v>2009-10</c:v>
                </c:pt>
                <c:pt idx="34">
                  <c:v>2009-11</c:v>
                </c:pt>
                <c:pt idx="35">
                  <c:v>2009-12</c:v>
                </c:pt>
                <c:pt idx="36">
                  <c:v>2010-01</c:v>
                </c:pt>
                <c:pt idx="37">
                  <c:v>2010-02</c:v>
                </c:pt>
                <c:pt idx="38">
                  <c:v>2010-03</c:v>
                </c:pt>
                <c:pt idx="39">
                  <c:v>2010-04</c:v>
                </c:pt>
                <c:pt idx="40">
                  <c:v>2010-05</c:v>
                </c:pt>
                <c:pt idx="41">
                  <c:v>2010-06</c:v>
                </c:pt>
                <c:pt idx="42">
                  <c:v>2010-07</c:v>
                </c:pt>
                <c:pt idx="43">
                  <c:v>2010-08</c:v>
                </c:pt>
                <c:pt idx="44">
                  <c:v>2010-09</c:v>
                </c:pt>
                <c:pt idx="45">
                  <c:v>2010-10</c:v>
                </c:pt>
                <c:pt idx="46">
                  <c:v>2010-11</c:v>
                </c:pt>
                <c:pt idx="47">
                  <c:v>2010-12</c:v>
                </c:pt>
                <c:pt idx="48">
                  <c:v>2011-01</c:v>
                </c:pt>
                <c:pt idx="49">
                  <c:v>2011-02</c:v>
                </c:pt>
                <c:pt idx="50">
                  <c:v>2011-03</c:v>
                </c:pt>
                <c:pt idx="51">
                  <c:v>2011-04</c:v>
                </c:pt>
                <c:pt idx="52">
                  <c:v>2011-05</c:v>
                </c:pt>
                <c:pt idx="53">
                  <c:v>2011-06</c:v>
                </c:pt>
                <c:pt idx="54">
                  <c:v>2011-07</c:v>
                </c:pt>
                <c:pt idx="55">
                  <c:v>2011-08</c:v>
                </c:pt>
                <c:pt idx="56">
                  <c:v>2011-09</c:v>
                </c:pt>
                <c:pt idx="57">
                  <c:v>2011-10</c:v>
                </c:pt>
                <c:pt idx="58">
                  <c:v>2011-11</c:v>
                </c:pt>
                <c:pt idx="59">
                  <c:v>2011-12</c:v>
                </c:pt>
                <c:pt idx="60">
                  <c:v>2012-01</c:v>
                </c:pt>
                <c:pt idx="61">
                  <c:v>2012-02</c:v>
                </c:pt>
                <c:pt idx="62">
                  <c:v>2012-03</c:v>
                </c:pt>
                <c:pt idx="63">
                  <c:v>2012-04</c:v>
                </c:pt>
                <c:pt idx="64">
                  <c:v>2012-05</c:v>
                </c:pt>
                <c:pt idx="65">
                  <c:v>2012-06</c:v>
                </c:pt>
                <c:pt idx="66">
                  <c:v>2012-07</c:v>
                </c:pt>
                <c:pt idx="67">
                  <c:v>2012-08</c:v>
                </c:pt>
                <c:pt idx="68">
                  <c:v>2012-09</c:v>
                </c:pt>
                <c:pt idx="69">
                  <c:v>2012-10</c:v>
                </c:pt>
                <c:pt idx="70">
                  <c:v>2012-11</c:v>
                </c:pt>
                <c:pt idx="71">
                  <c:v>2012-12</c:v>
                </c:pt>
                <c:pt idx="72">
                  <c:v>2013-01</c:v>
                </c:pt>
                <c:pt idx="73">
                  <c:v>2013-02</c:v>
                </c:pt>
                <c:pt idx="74">
                  <c:v>2013-03</c:v>
                </c:pt>
                <c:pt idx="75">
                  <c:v>2013-04</c:v>
                </c:pt>
                <c:pt idx="76">
                  <c:v>2013-05</c:v>
                </c:pt>
                <c:pt idx="77">
                  <c:v>2013-06</c:v>
                </c:pt>
                <c:pt idx="78">
                  <c:v>2013-07</c:v>
                </c:pt>
                <c:pt idx="79">
                  <c:v>2013-08</c:v>
                </c:pt>
                <c:pt idx="80">
                  <c:v>2013-09</c:v>
                </c:pt>
                <c:pt idx="81">
                  <c:v>2013-10</c:v>
                </c:pt>
                <c:pt idx="82">
                  <c:v>2013-11</c:v>
                </c:pt>
                <c:pt idx="83">
                  <c:v>2013-12</c:v>
                </c:pt>
                <c:pt idx="84">
                  <c:v>2014-01</c:v>
                </c:pt>
                <c:pt idx="85">
                  <c:v>2014-02</c:v>
                </c:pt>
                <c:pt idx="86">
                  <c:v>2014-03</c:v>
                </c:pt>
                <c:pt idx="87">
                  <c:v>2014-04</c:v>
                </c:pt>
                <c:pt idx="88">
                  <c:v>2014-05</c:v>
                </c:pt>
                <c:pt idx="89">
                  <c:v>2014-06</c:v>
                </c:pt>
                <c:pt idx="90">
                  <c:v>2014-07</c:v>
                </c:pt>
                <c:pt idx="91">
                  <c:v>2014-08</c:v>
                </c:pt>
                <c:pt idx="92">
                  <c:v>2014-09</c:v>
                </c:pt>
                <c:pt idx="93">
                  <c:v>2014-10</c:v>
                </c:pt>
                <c:pt idx="94">
                  <c:v>2014-11</c:v>
                </c:pt>
                <c:pt idx="95">
                  <c:v>2014-12</c:v>
                </c:pt>
                <c:pt idx="96">
                  <c:v>2015-01</c:v>
                </c:pt>
                <c:pt idx="97">
                  <c:v>2015-02</c:v>
                </c:pt>
                <c:pt idx="98">
                  <c:v>2015-03</c:v>
                </c:pt>
                <c:pt idx="99">
                  <c:v>2015-04</c:v>
                </c:pt>
                <c:pt idx="100">
                  <c:v>2015-05</c:v>
                </c:pt>
                <c:pt idx="101">
                  <c:v>2015-06</c:v>
                </c:pt>
                <c:pt idx="102">
                  <c:v>2015-07</c:v>
                </c:pt>
                <c:pt idx="103">
                  <c:v>2015-08</c:v>
                </c:pt>
                <c:pt idx="104">
                  <c:v>2015-09</c:v>
                </c:pt>
                <c:pt idx="105">
                  <c:v>2015-10</c:v>
                </c:pt>
                <c:pt idx="106">
                  <c:v>2015-11</c:v>
                </c:pt>
                <c:pt idx="107">
                  <c:v>2015-12</c:v>
                </c:pt>
                <c:pt idx="108">
                  <c:v>2016-01</c:v>
                </c:pt>
                <c:pt idx="109">
                  <c:v>2016-02</c:v>
                </c:pt>
                <c:pt idx="110">
                  <c:v>2016-03</c:v>
                </c:pt>
                <c:pt idx="111">
                  <c:v>2016-04</c:v>
                </c:pt>
                <c:pt idx="112">
                  <c:v>2016-05</c:v>
                </c:pt>
                <c:pt idx="113">
                  <c:v>2016-06</c:v>
                </c:pt>
                <c:pt idx="114">
                  <c:v>2016-07</c:v>
                </c:pt>
                <c:pt idx="115">
                  <c:v>2016-08</c:v>
                </c:pt>
                <c:pt idx="116">
                  <c:v>2016-09</c:v>
                </c:pt>
                <c:pt idx="117">
                  <c:v>2016-10</c:v>
                </c:pt>
                <c:pt idx="118">
                  <c:v>2016-11</c:v>
                </c:pt>
                <c:pt idx="119">
                  <c:v>2016-12</c:v>
                </c:pt>
                <c:pt idx="120">
                  <c:v>2017-01</c:v>
                </c:pt>
                <c:pt idx="121">
                  <c:v>2017-02</c:v>
                </c:pt>
                <c:pt idx="122">
                  <c:v>2017-03</c:v>
                </c:pt>
                <c:pt idx="123">
                  <c:v>2017-04</c:v>
                </c:pt>
                <c:pt idx="124">
                  <c:v>2017-05</c:v>
                </c:pt>
                <c:pt idx="125">
                  <c:v>2017-06</c:v>
                </c:pt>
                <c:pt idx="126">
                  <c:v>2017-07</c:v>
                </c:pt>
                <c:pt idx="127">
                  <c:v>2017-08</c:v>
                </c:pt>
                <c:pt idx="128">
                  <c:v>2017-09</c:v>
                </c:pt>
                <c:pt idx="129">
                  <c:v>2017-10</c:v>
                </c:pt>
                <c:pt idx="130">
                  <c:v>2017-11</c:v>
                </c:pt>
                <c:pt idx="131">
                  <c:v>2017-12</c:v>
                </c:pt>
                <c:pt idx="132">
                  <c:v>2018-01</c:v>
                </c:pt>
                <c:pt idx="133">
                  <c:v>2018-02</c:v>
                </c:pt>
                <c:pt idx="134">
                  <c:v>2018-03</c:v>
                </c:pt>
                <c:pt idx="135">
                  <c:v>2018-04</c:v>
                </c:pt>
                <c:pt idx="136">
                  <c:v>2018-05</c:v>
                </c:pt>
                <c:pt idx="137">
                  <c:v>2018-06</c:v>
                </c:pt>
                <c:pt idx="138">
                  <c:v>2018-07</c:v>
                </c:pt>
                <c:pt idx="139">
                  <c:v>2018-08</c:v>
                </c:pt>
                <c:pt idx="140">
                  <c:v>2018-09</c:v>
                </c:pt>
                <c:pt idx="141">
                  <c:v>2018-10</c:v>
                </c:pt>
                <c:pt idx="142">
                  <c:v>2018-11</c:v>
                </c:pt>
                <c:pt idx="143">
                  <c:v>2018-12</c:v>
                </c:pt>
                <c:pt idx="144">
                  <c:v>2019-01</c:v>
                </c:pt>
                <c:pt idx="145">
                  <c:v>2019-02</c:v>
                </c:pt>
                <c:pt idx="146">
                  <c:v>2019-03</c:v>
                </c:pt>
                <c:pt idx="147">
                  <c:v>2019-04</c:v>
                </c:pt>
                <c:pt idx="148">
                  <c:v>2019-05</c:v>
                </c:pt>
              </c:strCache>
            </c:strRef>
          </c:cat>
          <c:val>
            <c:numRef>
              <c:f>valeurs_mensuelles!$B$4:$B$152</c:f>
              <c:numCache>
                <c:formatCode>General</c:formatCode>
                <c:ptCount val="149"/>
                <c:pt idx="0">
                  <c:v>1.2</c:v>
                </c:pt>
                <c:pt idx="1">
                  <c:v>1</c:v>
                </c:pt>
                <c:pt idx="2">
                  <c:v>1.2</c:v>
                </c:pt>
                <c:pt idx="3">
                  <c:v>1.3</c:v>
                </c:pt>
                <c:pt idx="4">
                  <c:v>1.1000000000000001</c:v>
                </c:pt>
                <c:pt idx="5">
                  <c:v>1.2</c:v>
                </c:pt>
                <c:pt idx="6">
                  <c:v>1.1000000000000001</c:v>
                </c:pt>
                <c:pt idx="7">
                  <c:v>1.2</c:v>
                </c:pt>
                <c:pt idx="8">
                  <c:v>1.5</c:v>
                </c:pt>
                <c:pt idx="9">
                  <c:v>2</c:v>
                </c:pt>
                <c:pt idx="10">
                  <c:v>2.4</c:v>
                </c:pt>
                <c:pt idx="11">
                  <c:v>2.6</c:v>
                </c:pt>
                <c:pt idx="12">
                  <c:v>2.8</c:v>
                </c:pt>
                <c:pt idx="13">
                  <c:v>2.8</c:v>
                </c:pt>
                <c:pt idx="14">
                  <c:v>3.2</c:v>
                </c:pt>
                <c:pt idx="15">
                  <c:v>3</c:v>
                </c:pt>
                <c:pt idx="16">
                  <c:v>3.3</c:v>
                </c:pt>
                <c:pt idx="17">
                  <c:v>3.6</c:v>
                </c:pt>
                <c:pt idx="18">
                  <c:v>3.6</c:v>
                </c:pt>
                <c:pt idx="19">
                  <c:v>3.2</c:v>
                </c:pt>
                <c:pt idx="20">
                  <c:v>3</c:v>
                </c:pt>
                <c:pt idx="21">
                  <c:v>2.7</c:v>
                </c:pt>
                <c:pt idx="22">
                  <c:v>1.6</c:v>
                </c:pt>
                <c:pt idx="23">
                  <c:v>1</c:v>
                </c:pt>
                <c:pt idx="24">
                  <c:v>0.70000000000000062</c:v>
                </c:pt>
                <c:pt idx="25">
                  <c:v>0.9</c:v>
                </c:pt>
                <c:pt idx="26">
                  <c:v>0.30000000000000032</c:v>
                </c:pt>
                <c:pt idx="27">
                  <c:v>0.1</c:v>
                </c:pt>
                <c:pt idx="28">
                  <c:v>-0.30000000000000032</c:v>
                </c:pt>
                <c:pt idx="29">
                  <c:v>-0.5</c:v>
                </c:pt>
                <c:pt idx="30">
                  <c:v>-0.70000000000000062</c:v>
                </c:pt>
                <c:pt idx="31">
                  <c:v>-0.2</c:v>
                </c:pt>
                <c:pt idx="32">
                  <c:v>-0.4</c:v>
                </c:pt>
                <c:pt idx="33">
                  <c:v>-0.2</c:v>
                </c:pt>
                <c:pt idx="34">
                  <c:v>0.4</c:v>
                </c:pt>
                <c:pt idx="35">
                  <c:v>0.9</c:v>
                </c:pt>
                <c:pt idx="36">
                  <c:v>1.1000000000000001</c:v>
                </c:pt>
                <c:pt idx="37">
                  <c:v>1.3</c:v>
                </c:pt>
                <c:pt idx="38">
                  <c:v>1.6</c:v>
                </c:pt>
                <c:pt idx="39">
                  <c:v>1.7</c:v>
                </c:pt>
                <c:pt idx="40">
                  <c:v>1.6</c:v>
                </c:pt>
                <c:pt idx="41">
                  <c:v>1.5</c:v>
                </c:pt>
                <c:pt idx="42">
                  <c:v>1.7</c:v>
                </c:pt>
                <c:pt idx="43">
                  <c:v>1.4</c:v>
                </c:pt>
                <c:pt idx="44">
                  <c:v>1.6</c:v>
                </c:pt>
                <c:pt idx="45">
                  <c:v>1.6</c:v>
                </c:pt>
                <c:pt idx="46">
                  <c:v>1.6</c:v>
                </c:pt>
                <c:pt idx="47">
                  <c:v>1.8</c:v>
                </c:pt>
                <c:pt idx="48">
                  <c:v>1.7</c:v>
                </c:pt>
                <c:pt idx="49">
                  <c:v>1.7</c:v>
                </c:pt>
                <c:pt idx="50">
                  <c:v>2</c:v>
                </c:pt>
                <c:pt idx="51">
                  <c:v>2.1</c:v>
                </c:pt>
                <c:pt idx="52">
                  <c:v>2</c:v>
                </c:pt>
                <c:pt idx="53">
                  <c:v>2.1</c:v>
                </c:pt>
                <c:pt idx="54">
                  <c:v>1.9000000000000001</c:v>
                </c:pt>
                <c:pt idx="55">
                  <c:v>2.2000000000000002</c:v>
                </c:pt>
                <c:pt idx="56">
                  <c:v>2.2000000000000002</c:v>
                </c:pt>
                <c:pt idx="57">
                  <c:v>2.2999999999999998</c:v>
                </c:pt>
                <c:pt idx="58">
                  <c:v>2.5</c:v>
                </c:pt>
                <c:pt idx="59">
                  <c:v>2.5</c:v>
                </c:pt>
                <c:pt idx="60">
                  <c:v>2.4</c:v>
                </c:pt>
                <c:pt idx="61">
                  <c:v>2.2999999999999998</c:v>
                </c:pt>
                <c:pt idx="62">
                  <c:v>2.2999999999999998</c:v>
                </c:pt>
                <c:pt idx="63">
                  <c:v>2.1</c:v>
                </c:pt>
                <c:pt idx="64">
                  <c:v>2</c:v>
                </c:pt>
                <c:pt idx="65">
                  <c:v>1.9000000000000001</c:v>
                </c:pt>
                <c:pt idx="66">
                  <c:v>1.9000000000000001</c:v>
                </c:pt>
                <c:pt idx="67">
                  <c:v>2.1</c:v>
                </c:pt>
                <c:pt idx="68">
                  <c:v>1.9000000000000001</c:v>
                </c:pt>
                <c:pt idx="69">
                  <c:v>1.9000000000000001</c:v>
                </c:pt>
                <c:pt idx="70">
                  <c:v>1.4</c:v>
                </c:pt>
                <c:pt idx="71">
                  <c:v>1.3</c:v>
                </c:pt>
                <c:pt idx="72">
                  <c:v>1.2</c:v>
                </c:pt>
                <c:pt idx="73">
                  <c:v>1</c:v>
                </c:pt>
                <c:pt idx="74">
                  <c:v>1</c:v>
                </c:pt>
                <c:pt idx="75">
                  <c:v>0.70000000000000062</c:v>
                </c:pt>
                <c:pt idx="76">
                  <c:v>0.8</c:v>
                </c:pt>
                <c:pt idx="77">
                  <c:v>0.9</c:v>
                </c:pt>
                <c:pt idx="78">
                  <c:v>1.1000000000000001</c:v>
                </c:pt>
                <c:pt idx="79">
                  <c:v>0.9</c:v>
                </c:pt>
                <c:pt idx="80">
                  <c:v>0.9</c:v>
                </c:pt>
                <c:pt idx="81">
                  <c:v>0.60000000000000064</c:v>
                </c:pt>
                <c:pt idx="82">
                  <c:v>0.70000000000000062</c:v>
                </c:pt>
                <c:pt idx="83">
                  <c:v>0.70000000000000062</c:v>
                </c:pt>
                <c:pt idx="84">
                  <c:v>0.60000000000000064</c:v>
                </c:pt>
                <c:pt idx="85">
                  <c:v>0.9</c:v>
                </c:pt>
                <c:pt idx="86">
                  <c:v>0.60000000000000064</c:v>
                </c:pt>
                <c:pt idx="87">
                  <c:v>0.70000000000000062</c:v>
                </c:pt>
                <c:pt idx="88">
                  <c:v>0.70000000000000062</c:v>
                </c:pt>
                <c:pt idx="89">
                  <c:v>0.5</c:v>
                </c:pt>
                <c:pt idx="90">
                  <c:v>0.5</c:v>
                </c:pt>
                <c:pt idx="91">
                  <c:v>0.4</c:v>
                </c:pt>
                <c:pt idx="92">
                  <c:v>0.30000000000000032</c:v>
                </c:pt>
                <c:pt idx="93">
                  <c:v>0.5</c:v>
                </c:pt>
                <c:pt idx="94">
                  <c:v>0.30000000000000032</c:v>
                </c:pt>
                <c:pt idx="95">
                  <c:v>0.1</c:v>
                </c:pt>
                <c:pt idx="96">
                  <c:v>-0.4</c:v>
                </c:pt>
                <c:pt idx="97">
                  <c:v>-0.30000000000000032</c:v>
                </c:pt>
                <c:pt idx="98">
                  <c:v>-0.1</c:v>
                </c:pt>
                <c:pt idx="99">
                  <c:v>0.1</c:v>
                </c:pt>
                <c:pt idx="100">
                  <c:v>0.30000000000000032</c:v>
                </c:pt>
                <c:pt idx="101">
                  <c:v>0.30000000000000032</c:v>
                </c:pt>
                <c:pt idx="102">
                  <c:v>0.2</c:v>
                </c:pt>
                <c:pt idx="103">
                  <c:v>0</c:v>
                </c:pt>
                <c:pt idx="104">
                  <c:v>0</c:v>
                </c:pt>
                <c:pt idx="105">
                  <c:v>0.1</c:v>
                </c:pt>
                <c:pt idx="106">
                  <c:v>0</c:v>
                </c:pt>
                <c:pt idx="107">
                  <c:v>0.2</c:v>
                </c:pt>
                <c:pt idx="108">
                  <c:v>0.2</c:v>
                </c:pt>
                <c:pt idx="109">
                  <c:v>-0.2</c:v>
                </c:pt>
                <c:pt idx="110">
                  <c:v>-0.1</c:v>
                </c:pt>
                <c:pt idx="111">
                  <c:v>-0.2</c:v>
                </c:pt>
                <c:pt idx="112">
                  <c:v>0</c:v>
                </c:pt>
                <c:pt idx="113">
                  <c:v>0.2</c:v>
                </c:pt>
                <c:pt idx="114">
                  <c:v>0.2</c:v>
                </c:pt>
                <c:pt idx="115">
                  <c:v>0.2</c:v>
                </c:pt>
                <c:pt idx="116">
                  <c:v>0.4</c:v>
                </c:pt>
                <c:pt idx="117">
                  <c:v>0.4</c:v>
                </c:pt>
                <c:pt idx="118">
                  <c:v>0.5</c:v>
                </c:pt>
                <c:pt idx="119">
                  <c:v>0.60000000000000064</c:v>
                </c:pt>
                <c:pt idx="120">
                  <c:v>1.3</c:v>
                </c:pt>
                <c:pt idx="121">
                  <c:v>1.2</c:v>
                </c:pt>
                <c:pt idx="122">
                  <c:v>1.1000000000000001</c:v>
                </c:pt>
                <c:pt idx="123">
                  <c:v>1.2</c:v>
                </c:pt>
                <c:pt idx="124">
                  <c:v>0.8</c:v>
                </c:pt>
                <c:pt idx="125">
                  <c:v>0.70000000000000062</c:v>
                </c:pt>
                <c:pt idx="126">
                  <c:v>0.70000000000000062</c:v>
                </c:pt>
                <c:pt idx="127">
                  <c:v>0.9</c:v>
                </c:pt>
                <c:pt idx="128">
                  <c:v>1</c:v>
                </c:pt>
                <c:pt idx="129">
                  <c:v>1.1000000000000001</c:v>
                </c:pt>
                <c:pt idx="130">
                  <c:v>1.2</c:v>
                </c:pt>
                <c:pt idx="131">
                  <c:v>1.2</c:v>
                </c:pt>
                <c:pt idx="132">
                  <c:v>1.3</c:v>
                </c:pt>
                <c:pt idx="133">
                  <c:v>1.2</c:v>
                </c:pt>
                <c:pt idx="134">
                  <c:v>1.6</c:v>
                </c:pt>
                <c:pt idx="135">
                  <c:v>1.6</c:v>
                </c:pt>
                <c:pt idx="136">
                  <c:v>2</c:v>
                </c:pt>
                <c:pt idx="137">
                  <c:v>2</c:v>
                </c:pt>
                <c:pt idx="138">
                  <c:v>2.2999999999999998</c:v>
                </c:pt>
                <c:pt idx="139">
                  <c:v>2.2999999999999998</c:v>
                </c:pt>
                <c:pt idx="140">
                  <c:v>2.2000000000000002</c:v>
                </c:pt>
                <c:pt idx="141">
                  <c:v>2.2000000000000002</c:v>
                </c:pt>
                <c:pt idx="142">
                  <c:v>1.9000000000000001</c:v>
                </c:pt>
                <c:pt idx="143">
                  <c:v>1.6</c:v>
                </c:pt>
                <c:pt idx="144">
                  <c:v>1.2</c:v>
                </c:pt>
                <c:pt idx="145">
                  <c:v>1.3</c:v>
                </c:pt>
                <c:pt idx="146">
                  <c:v>1.1000000000000001</c:v>
                </c:pt>
                <c:pt idx="147">
                  <c:v>1.3</c:v>
                </c:pt>
                <c:pt idx="148">
                  <c:v>1</c:v>
                </c:pt>
              </c:numCache>
            </c:numRef>
          </c:val>
        </c:ser>
        <c:ser>
          <c:idx val="1"/>
          <c:order val="1"/>
          <c:tx>
            <c:strRef>
              <c:f>valeurs_mensuelles!$C$2</c:f>
              <c:strCache>
                <c:ptCount val="1"/>
                <c:pt idx="0">
                  <c:v>Principal taux directeur BCE</c:v>
                </c:pt>
              </c:strCache>
            </c:strRef>
          </c:tx>
          <c:spPr>
            <a:ln>
              <a:solidFill>
                <a:schemeClr val="tx1"/>
              </a:solidFill>
              <a:prstDash val="sysDot"/>
            </a:ln>
          </c:spPr>
          <c:marker>
            <c:symbol val="none"/>
          </c:marker>
          <c:cat>
            <c:strRef>
              <c:f>valeurs_mensuelles!$A$4:$A$152</c:f>
              <c:strCache>
                <c:ptCount val="149"/>
                <c:pt idx="0">
                  <c:v>2007-01</c:v>
                </c:pt>
                <c:pt idx="1">
                  <c:v>2007-02</c:v>
                </c:pt>
                <c:pt idx="2">
                  <c:v>2007-03</c:v>
                </c:pt>
                <c:pt idx="3">
                  <c:v>2007-04</c:v>
                </c:pt>
                <c:pt idx="4">
                  <c:v>2007-05</c:v>
                </c:pt>
                <c:pt idx="5">
                  <c:v>2007-06</c:v>
                </c:pt>
                <c:pt idx="6">
                  <c:v>2007-07</c:v>
                </c:pt>
                <c:pt idx="7">
                  <c:v>2007-08</c:v>
                </c:pt>
                <c:pt idx="8">
                  <c:v>2007-09</c:v>
                </c:pt>
                <c:pt idx="9">
                  <c:v>2007-10</c:v>
                </c:pt>
                <c:pt idx="10">
                  <c:v>2007-11</c:v>
                </c:pt>
                <c:pt idx="11">
                  <c:v>2007-12</c:v>
                </c:pt>
                <c:pt idx="12">
                  <c:v>2008-01</c:v>
                </c:pt>
                <c:pt idx="13">
                  <c:v>2008-02</c:v>
                </c:pt>
                <c:pt idx="14">
                  <c:v>2008-03</c:v>
                </c:pt>
                <c:pt idx="15">
                  <c:v>2008-04</c:v>
                </c:pt>
                <c:pt idx="16">
                  <c:v>2008-05</c:v>
                </c:pt>
                <c:pt idx="17">
                  <c:v>2008-06</c:v>
                </c:pt>
                <c:pt idx="18">
                  <c:v>2008-07</c:v>
                </c:pt>
                <c:pt idx="19">
                  <c:v>2008-08</c:v>
                </c:pt>
                <c:pt idx="20">
                  <c:v>2008-09</c:v>
                </c:pt>
                <c:pt idx="21">
                  <c:v>2008-10</c:v>
                </c:pt>
                <c:pt idx="22">
                  <c:v>2008-11</c:v>
                </c:pt>
                <c:pt idx="23">
                  <c:v>2008-12</c:v>
                </c:pt>
                <c:pt idx="24">
                  <c:v>2009-01</c:v>
                </c:pt>
                <c:pt idx="25">
                  <c:v>2009-02</c:v>
                </c:pt>
                <c:pt idx="26">
                  <c:v>2009-03</c:v>
                </c:pt>
                <c:pt idx="27">
                  <c:v>2009-04</c:v>
                </c:pt>
                <c:pt idx="28">
                  <c:v>2009-05</c:v>
                </c:pt>
                <c:pt idx="29">
                  <c:v>2009-06</c:v>
                </c:pt>
                <c:pt idx="30">
                  <c:v>2009-07</c:v>
                </c:pt>
                <c:pt idx="31">
                  <c:v>2009-08</c:v>
                </c:pt>
                <c:pt idx="32">
                  <c:v>2009-09</c:v>
                </c:pt>
                <c:pt idx="33">
                  <c:v>2009-10</c:v>
                </c:pt>
                <c:pt idx="34">
                  <c:v>2009-11</c:v>
                </c:pt>
                <c:pt idx="35">
                  <c:v>2009-12</c:v>
                </c:pt>
                <c:pt idx="36">
                  <c:v>2010-01</c:v>
                </c:pt>
                <c:pt idx="37">
                  <c:v>2010-02</c:v>
                </c:pt>
                <c:pt idx="38">
                  <c:v>2010-03</c:v>
                </c:pt>
                <c:pt idx="39">
                  <c:v>2010-04</c:v>
                </c:pt>
                <c:pt idx="40">
                  <c:v>2010-05</c:v>
                </c:pt>
                <c:pt idx="41">
                  <c:v>2010-06</c:v>
                </c:pt>
                <c:pt idx="42">
                  <c:v>2010-07</c:v>
                </c:pt>
                <c:pt idx="43">
                  <c:v>2010-08</c:v>
                </c:pt>
                <c:pt idx="44">
                  <c:v>2010-09</c:v>
                </c:pt>
                <c:pt idx="45">
                  <c:v>2010-10</c:v>
                </c:pt>
                <c:pt idx="46">
                  <c:v>2010-11</c:v>
                </c:pt>
                <c:pt idx="47">
                  <c:v>2010-12</c:v>
                </c:pt>
                <c:pt idx="48">
                  <c:v>2011-01</c:v>
                </c:pt>
                <c:pt idx="49">
                  <c:v>2011-02</c:v>
                </c:pt>
                <c:pt idx="50">
                  <c:v>2011-03</c:v>
                </c:pt>
                <c:pt idx="51">
                  <c:v>2011-04</c:v>
                </c:pt>
                <c:pt idx="52">
                  <c:v>2011-05</c:v>
                </c:pt>
                <c:pt idx="53">
                  <c:v>2011-06</c:v>
                </c:pt>
                <c:pt idx="54">
                  <c:v>2011-07</c:v>
                </c:pt>
                <c:pt idx="55">
                  <c:v>2011-08</c:v>
                </c:pt>
                <c:pt idx="56">
                  <c:v>2011-09</c:v>
                </c:pt>
                <c:pt idx="57">
                  <c:v>2011-10</c:v>
                </c:pt>
                <c:pt idx="58">
                  <c:v>2011-11</c:v>
                </c:pt>
                <c:pt idx="59">
                  <c:v>2011-12</c:v>
                </c:pt>
                <c:pt idx="60">
                  <c:v>2012-01</c:v>
                </c:pt>
                <c:pt idx="61">
                  <c:v>2012-02</c:v>
                </c:pt>
                <c:pt idx="62">
                  <c:v>2012-03</c:v>
                </c:pt>
                <c:pt idx="63">
                  <c:v>2012-04</c:v>
                </c:pt>
                <c:pt idx="64">
                  <c:v>2012-05</c:v>
                </c:pt>
                <c:pt idx="65">
                  <c:v>2012-06</c:v>
                </c:pt>
                <c:pt idx="66">
                  <c:v>2012-07</c:v>
                </c:pt>
                <c:pt idx="67">
                  <c:v>2012-08</c:v>
                </c:pt>
                <c:pt idx="68">
                  <c:v>2012-09</c:v>
                </c:pt>
                <c:pt idx="69">
                  <c:v>2012-10</c:v>
                </c:pt>
                <c:pt idx="70">
                  <c:v>2012-11</c:v>
                </c:pt>
                <c:pt idx="71">
                  <c:v>2012-12</c:v>
                </c:pt>
                <c:pt idx="72">
                  <c:v>2013-01</c:v>
                </c:pt>
                <c:pt idx="73">
                  <c:v>2013-02</c:v>
                </c:pt>
                <c:pt idx="74">
                  <c:v>2013-03</c:v>
                </c:pt>
                <c:pt idx="75">
                  <c:v>2013-04</c:v>
                </c:pt>
                <c:pt idx="76">
                  <c:v>2013-05</c:v>
                </c:pt>
                <c:pt idx="77">
                  <c:v>2013-06</c:v>
                </c:pt>
                <c:pt idx="78">
                  <c:v>2013-07</c:v>
                </c:pt>
                <c:pt idx="79">
                  <c:v>2013-08</c:v>
                </c:pt>
                <c:pt idx="80">
                  <c:v>2013-09</c:v>
                </c:pt>
                <c:pt idx="81">
                  <c:v>2013-10</c:v>
                </c:pt>
                <c:pt idx="82">
                  <c:v>2013-11</c:v>
                </c:pt>
                <c:pt idx="83">
                  <c:v>2013-12</c:v>
                </c:pt>
                <c:pt idx="84">
                  <c:v>2014-01</c:v>
                </c:pt>
                <c:pt idx="85">
                  <c:v>2014-02</c:v>
                </c:pt>
                <c:pt idx="86">
                  <c:v>2014-03</c:v>
                </c:pt>
                <c:pt idx="87">
                  <c:v>2014-04</c:v>
                </c:pt>
                <c:pt idx="88">
                  <c:v>2014-05</c:v>
                </c:pt>
                <c:pt idx="89">
                  <c:v>2014-06</c:v>
                </c:pt>
                <c:pt idx="90">
                  <c:v>2014-07</c:v>
                </c:pt>
                <c:pt idx="91">
                  <c:v>2014-08</c:v>
                </c:pt>
                <c:pt idx="92">
                  <c:v>2014-09</c:v>
                </c:pt>
                <c:pt idx="93">
                  <c:v>2014-10</c:v>
                </c:pt>
                <c:pt idx="94">
                  <c:v>2014-11</c:v>
                </c:pt>
                <c:pt idx="95">
                  <c:v>2014-12</c:v>
                </c:pt>
                <c:pt idx="96">
                  <c:v>2015-01</c:v>
                </c:pt>
                <c:pt idx="97">
                  <c:v>2015-02</c:v>
                </c:pt>
                <c:pt idx="98">
                  <c:v>2015-03</c:v>
                </c:pt>
                <c:pt idx="99">
                  <c:v>2015-04</c:v>
                </c:pt>
                <c:pt idx="100">
                  <c:v>2015-05</c:v>
                </c:pt>
                <c:pt idx="101">
                  <c:v>2015-06</c:v>
                </c:pt>
                <c:pt idx="102">
                  <c:v>2015-07</c:v>
                </c:pt>
                <c:pt idx="103">
                  <c:v>2015-08</c:v>
                </c:pt>
                <c:pt idx="104">
                  <c:v>2015-09</c:v>
                </c:pt>
                <c:pt idx="105">
                  <c:v>2015-10</c:v>
                </c:pt>
                <c:pt idx="106">
                  <c:v>2015-11</c:v>
                </c:pt>
                <c:pt idx="107">
                  <c:v>2015-12</c:v>
                </c:pt>
                <c:pt idx="108">
                  <c:v>2016-01</c:v>
                </c:pt>
                <c:pt idx="109">
                  <c:v>2016-02</c:v>
                </c:pt>
                <c:pt idx="110">
                  <c:v>2016-03</c:v>
                </c:pt>
                <c:pt idx="111">
                  <c:v>2016-04</c:v>
                </c:pt>
                <c:pt idx="112">
                  <c:v>2016-05</c:v>
                </c:pt>
                <c:pt idx="113">
                  <c:v>2016-06</c:v>
                </c:pt>
                <c:pt idx="114">
                  <c:v>2016-07</c:v>
                </c:pt>
                <c:pt idx="115">
                  <c:v>2016-08</c:v>
                </c:pt>
                <c:pt idx="116">
                  <c:v>2016-09</c:v>
                </c:pt>
                <c:pt idx="117">
                  <c:v>2016-10</c:v>
                </c:pt>
                <c:pt idx="118">
                  <c:v>2016-11</c:v>
                </c:pt>
                <c:pt idx="119">
                  <c:v>2016-12</c:v>
                </c:pt>
                <c:pt idx="120">
                  <c:v>2017-01</c:v>
                </c:pt>
                <c:pt idx="121">
                  <c:v>2017-02</c:v>
                </c:pt>
                <c:pt idx="122">
                  <c:v>2017-03</c:v>
                </c:pt>
                <c:pt idx="123">
                  <c:v>2017-04</c:v>
                </c:pt>
                <c:pt idx="124">
                  <c:v>2017-05</c:v>
                </c:pt>
                <c:pt idx="125">
                  <c:v>2017-06</c:v>
                </c:pt>
                <c:pt idx="126">
                  <c:v>2017-07</c:v>
                </c:pt>
                <c:pt idx="127">
                  <c:v>2017-08</c:v>
                </c:pt>
                <c:pt idx="128">
                  <c:v>2017-09</c:v>
                </c:pt>
                <c:pt idx="129">
                  <c:v>2017-10</c:v>
                </c:pt>
                <c:pt idx="130">
                  <c:v>2017-11</c:v>
                </c:pt>
                <c:pt idx="131">
                  <c:v>2017-12</c:v>
                </c:pt>
                <c:pt idx="132">
                  <c:v>2018-01</c:v>
                </c:pt>
                <c:pt idx="133">
                  <c:v>2018-02</c:v>
                </c:pt>
                <c:pt idx="134">
                  <c:v>2018-03</c:v>
                </c:pt>
                <c:pt idx="135">
                  <c:v>2018-04</c:v>
                </c:pt>
                <c:pt idx="136">
                  <c:v>2018-05</c:v>
                </c:pt>
                <c:pt idx="137">
                  <c:v>2018-06</c:v>
                </c:pt>
                <c:pt idx="138">
                  <c:v>2018-07</c:v>
                </c:pt>
                <c:pt idx="139">
                  <c:v>2018-08</c:v>
                </c:pt>
                <c:pt idx="140">
                  <c:v>2018-09</c:v>
                </c:pt>
                <c:pt idx="141">
                  <c:v>2018-10</c:v>
                </c:pt>
                <c:pt idx="142">
                  <c:v>2018-11</c:v>
                </c:pt>
                <c:pt idx="143">
                  <c:v>2018-12</c:v>
                </c:pt>
                <c:pt idx="144">
                  <c:v>2019-01</c:v>
                </c:pt>
                <c:pt idx="145">
                  <c:v>2019-02</c:v>
                </c:pt>
                <c:pt idx="146">
                  <c:v>2019-03</c:v>
                </c:pt>
                <c:pt idx="147">
                  <c:v>2019-04</c:v>
                </c:pt>
                <c:pt idx="148">
                  <c:v>2019-05</c:v>
                </c:pt>
              </c:strCache>
            </c:strRef>
          </c:cat>
          <c:val>
            <c:numRef>
              <c:f>valeurs_mensuelles!$C$4:$C$152</c:f>
              <c:numCache>
                <c:formatCode>General</c:formatCode>
                <c:ptCount val="149"/>
                <c:pt idx="0">
                  <c:v>4.25</c:v>
                </c:pt>
                <c:pt idx="1">
                  <c:v>4.25</c:v>
                </c:pt>
                <c:pt idx="2">
                  <c:v>4.25</c:v>
                </c:pt>
                <c:pt idx="3">
                  <c:v>4.25</c:v>
                </c:pt>
                <c:pt idx="4">
                  <c:v>4.25</c:v>
                </c:pt>
                <c:pt idx="5">
                  <c:v>4.25</c:v>
                </c:pt>
                <c:pt idx="6">
                  <c:v>4.25</c:v>
                </c:pt>
                <c:pt idx="7">
                  <c:v>4.25</c:v>
                </c:pt>
                <c:pt idx="8">
                  <c:v>4.25</c:v>
                </c:pt>
                <c:pt idx="9">
                  <c:v>4.25</c:v>
                </c:pt>
                <c:pt idx="10">
                  <c:v>4.25</c:v>
                </c:pt>
                <c:pt idx="11">
                  <c:v>4.25</c:v>
                </c:pt>
                <c:pt idx="12">
                  <c:v>4.25</c:v>
                </c:pt>
                <c:pt idx="13">
                  <c:v>4.25</c:v>
                </c:pt>
                <c:pt idx="14">
                  <c:v>4.25</c:v>
                </c:pt>
                <c:pt idx="15">
                  <c:v>4.25</c:v>
                </c:pt>
                <c:pt idx="16">
                  <c:v>4.25</c:v>
                </c:pt>
                <c:pt idx="17">
                  <c:v>4.25</c:v>
                </c:pt>
                <c:pt idx="18">
                  <c:v>4.25</c:v>
                </c:pt>
                <c:pt idx="19">
                  <c:v>4.25</c:v>
                </c:pt>
                <c:pt idx="20">
                  <c:v>4.25</c:v>
                </c:pt>
                <c:pt idx="21">
                  <c:v>3.75</c:v>
                </c:pt>
                <c:pt idx="22">
                  <c:v>3.25</c:v>
                </c:pt>
                <c:pt idx="23">
                  <c:v>2.5</c:v>
                </c:pt>
                <c:pt idx="24">
                  <c:v>2</c:v>
                </c:pt>
                <c:pt idx="25">
                  <c:v>2</c:v>
                </c:pt>
                <c:pt idx="26">
                  <c:v>1.5</c:v>
                </c:pt>
                <c:pt idx="27">
                  <c:v>1.25</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1.25</c:v>
                </c:pt>
                <c:pt idx="52">
                  <c:v>1.25</c:v>
                </c:pt>
                <c:pt idx="53">
                  <c:v>1.25</c:v>
                </c:pt>
                <c:pt idx="54">
                  <c:v>1.5</c:v>
                </c:pt>
                <c:pt idx="55">
                  <c:v>1.5</c:v>
                </c:pt>
                <c:pt idx="56">
                  <c:v>1.5</c:v>
                </c:pt>
                <c:pt idx="57">
                  <c:v>1.5</c:v>
                </c:pt>
                <c:pt idx="58">
                  <c:v>1.25</c:v>
                </c:pt>
                <c:pt idx="59">
                  <c:v>1</c:v>
                </c:pt>
                <c:pt idx="60">
                  <c:v>1</c:v>
                </c:pt>
                <c:pt idx="61">
                  <c:v>1</c:v>
                </c:pt>
                <c:pt idx="62">
                  <c:v>1</c:v>
                </c:pt>
                <c:pt idx="63">
                  <c:v>1</c:v>
                </c:pt>
                <c:pt idx="64">
                  <c:v>1</c:v>
                </c:pt>
                <c:pt idx="65">
                  <c:v>1</c:v>
                </c:pt>
                <c:pt idx="66">
                  <c:v>0.75000000000000089</c:v>
                </c:pt>
                <c:pt idx="67">
                  <c:v>0.75000000000000089</c:v>
                </c:pt>
                <c:pt idx="68">
                  <c:v>0.75000000000000089</c:v>
                </c:pt>
                <c:pt idx="69">
                  <c:v>0.75000000000000089</c:v>
                </c:pt>
                <c:pt idx="70">
                  <c:v>0.75000000000000089</c:v>
                </c:pt>
                <c:pt idx="71">
                  <c:v>0.75000000000000089</c:v>
                </c:pt>
                <c:pt idx="72">
                  <c:v>0.75000000000000089</c:v>
                </c:pt>
                <c:pt idx="73">
                  <c:v>0.75000000000000089</c:v>
                </c:pt>
                <c:pt idx="74">
                  <c:v>0.75000000000000089</c:v>
                </c:pt>
                <c:pt idx="75">
                  <c:v>0.75000000000000089</c:v>
                </c:pt>
                <c:pt idx="76">
                  <c:v>0.5</c:v>
                </c:pt>
                <c:pt idx="77">
                  <c:v>0.5</c:v>
                </c:pt>
                <c:pt idx="78">
                  <c:v>0.5</c:v>
                </c:pt>
                <c:pt idx="79">
                  <c:v>0.5</c:v>
                </c:pt>
                <c:pt idx="80">
                  <c:v>0.5</c:v>
                </c:pt>
                <c:pt idx="81">
                  <c:v>0.5</c:v>
                </c:pt>
                <c:pt idx="82">
                  <c:v>0.25</c:v>
                </c:pt>
                <c:pt idx="83">
                  <c:v>0.25</c:v>
                </c:pt>
                <c:pt idx="84">
                  <c:v>0.25</c:v>
                </c:pt>
                <c:pt idx="85">
                  <c:v>0.25</c:v>
                </c:pt>
                <c:pt idx="86">
                  <c:v>0.25</c:v>
                </c:pt>
                <c:pt idx="87">
                  <c:v>0.25</c:v>
                </c:pt>
                <c:pt idx="88">
                  <c:v>0.25</c:v>
                </c:pt>
                <c:pt idx="89">
                  <c:v>0.15000000000000019</c:v>
                </c:pt>
                <c:pt idx="90">
                  <c:v>0.15000000000000019</c:v>
                </c:pt>
                <c:pt idx="91">
                  <c:v>0.15000000000000019</c:v>
                </c:pt>
                <c:pt idx="92">
                  <c:v>0.05</c:v>
                </c:pt>
                <c:pt idx="93">
                  <c:v>0.05</c:v>
                </c:pt>
                <c:pt idx="94">
                  <c:v>0.05</c:v>
                </c:pt>
                <c:pt idx="95">
                  <c:v>0.05</c:v>
                </c:pt>
                <c:pt idx="96">
                  <c:v>0.05</c:v>
                </c:pt>
                <c:pt idx="97">
                  <c:v>0.05</c:v>
                </c:pt>
                <c:pt idx="98">
                  <c:v>0.05</c:v>
                </c:pt>
                <c:pt idx="99">
                  <c:v>0.05</c:v>
                </c:pt>
                <c:pt idx="100">
                  <c:v>0.05</c:v>
                </c:pt>
                <c:pt idx="101">
                  <c:v>0.05</c:v>
                </c:pt>
                <c:pt idx="102">
                  <c:v>0.05</c:v>
                </c:pt>
                <c:pt idx="103">
                  <c:v>0.05</c:v>
                </c:pt>
                <c:pt idx="104">
                  <c:v>0.05</c:v>
                </c:pt>
                <c:pt idx="105">
                  <c:v>0.05</c:v>
                </c:pt>
                <c:pt idx="106">
                  <c:v>0.05</c:v>
                </c:pt>
                <c:pt idx="107">
                  <c:v>0.05</c:v>
                </c:pt>
                <c:pt idx="108">
                  <c:v>0.05</c:v>
                </c:pt>
                <c:pt idx="109">
                  <c:v>0.05</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numCache>
            </c:numRef>
          </c:val>
        </c:ser>
        <c:marker val="1"/>
        <c:axId val="159280128"/>
        <c:axId val="159314688"/>
      </c:lineChart>
      <c:catAx>
        <c:axId val="159280128"/>
        <c:scaling>
          <c:orientation val="minMax"/>
        </c:scaling>
        <c:axPos val="b"/>
        <c:tickLblPos val="nextTo"/>
        <c:crossAx val="159314688"/>
        <c:crossesAt val="-1"/>
        <c:auto val="1"/>
        <c:lblAlgn val="ctr"/>
        <c:lblOffset val="100"/>
      </c:catAx>
      <c:valAx>
        <c:axId val="159314688"/>
        <c:scaling>
          <c:orientation val="minMax"/>
        </c:scaling>
        <c:axPos val="l"/>
        <c:majorGridlines>
          <c:spPr>
            <a:ln>
              <a:solidFill>
                <a:sysClr val="windowText" lastClr="000000"/>
              </a:solidFill>
            </a:ln>
          </c:spPr>
        </c:majorGridlines>
        <c:minorGridlines/>
        <c:numFmt formatCode="General" sourceLinked="1"/>
        <c:tickLblPos val="nextTo"/>
        <c:crossAx val="159280128"/>
        <c:crosses val="autoZero"/>
        <c:crossBetween val="between"/>
        <c:minorUnit val="0.1"/>
      </c:valAx>
    </c:plotArea>
    <c:legend>
      <c:legendPos val="r"/>
      <c:layout>
        <c:manualLayout>
          <c:xMode val="edge"/>
          <c:yMode val="edge"/>
          <c:x val="0.55613638572956048"/>
          <c:y val="7.1628297115602035E-2"/>
          <c:w val="0.36741310114013531"/>
          <c:h val="5.4654468452540093E-2"/>
        </c:manualLayout>
      </c:layout>
      <c:spPr>
        <a:solidFill>
          <a:sysClr val="window" lastClr="FFFFFF"/>
        </a:solidFill>
        <a:ln>
          <a:solidFill>
            <a:sysClr val="windowText" lastClr="000000"/>
          </a:solidFill>
        </a:ln>
      </c:spPr>
    </c:legend>
    <c:plotVisOnly val="1"/>
  </c:chart>
  <c:txPr>
    <a:bodyPr/>
    <a:lstStyle/>
    <a:p>
      <a:pPr>
        <a:defRPr sz="600"/>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5707559592593587E-2"/>
          <c:y val="2.319064163976892E-2"/>
          <c:w val="0.94795108973153119"/>
          <c:h val="0.92550578923144711"/>
        </c:manualLayout>
      </c:layout>
      <c:lineChart>
        <c:grouping val="standard"/>
        <c:ser>
          <c:idx val="1"/>
          <c:order val="0"/>
          <c:tx>
            <c:strRef>
              <c:f>Feuil1!$B$4</c:f>
              <c:strCache>
                <c:ptCount val="1"/>
                <c:pt idx="0">
                  <c:v>Taux de croissance du PIB en volume en France</c:v>
                </c:pt>
              </c:strCache>
            </c:strRef>
          </c:tx>
          <c:spPr>
            <a:ln>
              <a:solidFill>
                <a:schemeClr val="tx1"/>
              </a:solidFill>
            </a:ln>
          </c:spPr>
          <c:marker>
            <c:symbol val="none"/>
          </c:marker>
          <c:cat>
            <c:numRef>
              <c:f>Feuil1!$A$5:$A$16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Feuil1!$B$5:$B$16</c:f>
              <c:numCache>
                <c:formatCode>#,##0.0</c:formatCode>
                <c:ptCount val="12"/>
                <c:pt idx="0">
                  <c:v>2.4247397856177488</c:v>
                </c:pt>
                <c:pt idx="1">
                  <c:v>0.25493681937351198</c:v>
                </c:pt>
                <c:pt idx="2">
                  <c:v>-2.873325356963278</c:v>
                </c:pt>
                <c:pt idx="3">
                  <c:v>1.9494589550915735</c:v>
                </c:pt>
                <c:pt idx="4">
                  <c:v>2.1926798171764119</c:v>
                </c:pt>
                <c:pt idx="5">
                  <c:v>0.31316447015413518</c:v>
                </c:pt>
                <c:pt idx="6">
                  <c:v>0.57632366620708864</c:v>
                </c:pt>
                <c:pt idx="7">
                  <c:v>0.95616872389906848</c:v>
                </c:pt>
                <c:pt idx="8">
                  <c:v>1.1129123415815505</c:v>
                </c:pt>
                <c:pt idx="9">
                  <c:v>1.0954625842418595</c:v>
                </c:pt>
                <c:pt idx="10">
                  <c:v>2.2602096835052947</c:v>
                </c:pt>
                <c:pt idx="11">
                  <c:v>1.7248655047813781</c:v>
                </c:pt>
              </c:numCache>
            </c:numRef>
          </c:val>
        </c:ser>
        <c:ser>
          <c:idx val="2"/>
          <c:order val="1"/>
          <c:tx>
            <c:strRef>
              <c:f>Feuil1!$C$4</c:f>
              <c:strCache>
                <c:ptCount val="1"/>
                <c:pt idx="0">
                  <c:v>Taux de chômage en France</c:v>
                </c:pt>
              </c:strCache>
            </c:strRef>
          </c:tx>
          <c:spPr>
            <a:ln>
              <a:solidFill>
                <a:schemeClr val="tx1"/>
              </a:solidFill>
              <a:prstDash val="sysDot"/>
            </a:ln>
          </c:spPr>
          <c:marker>
            <c:symbol val="none"/>
          </c:marker>
          <c:cat>
            <c:numRef>
              <c:f>Feuil1!$A$5:$A$16</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Feuil1!$C$5:$C$16</c:f>
              <c:numCache>
                <c:formatCode>General</c:formatCode>
                <c:ptCount val="12"/>
                <c:pt idx="0">
                  <c:v>7.7</c:v>
                </c:pt>
                <c:pt idx="1">
                  <c:v>7.1</c:v>
                </c:pt>
                <c:pt idx="2">
                  <c:v>8.7000000000000011</c:v>
                </c:pt>
                <c:pt idx="3">
                  <c:v>8.9</c:v>
                </c:pt>
                <c:pt idx="4">
                  <c:v>8.8000000000000007</c:v>
                </c:pt>
                <c:pt idx="5">
                  <c:v>9.4</c:v>
                </c:pt>
                <c:pt idx="6">
                  <c:v>9.9</c:v>
                </c:pt>
                <c:pt idx="7">
                  <c:v>10.3</c:v>
                </c:pt>
                <c:pt idx="8">
                  <c:v>10.4</c:v>
                </c:pt>
                <c:pt idx="9">
                  <c:v>10.1</c:v>
                </c:pt>
                <c:pt idx="10">
                  <c:v>9.4</c:v>
                </c:pt>
                <c:pt idx="11">
                  <c:v>9.1</c:v>
                </c:pt>
              </c:numCache>
            </c:numRef>
          </c:val>
        </c:ser>
        <c:marker val="1"/>
        <c:axId val="164856576"/>
        <c:axId val="164858112"/>
      </c:lineChart>
      <c:catAx>
        <c:axId val="164856576"/>
        <c:scaling>
          <c:orientation val="minMax"/>
        </c:scaling>
        <c:axPos val="b"/>
        <c:majorGridlines/>
        <c:numFmt formatCode="General" sourceLinked="1"/>
        <c:tickLblPos val="nextTo"/>
        <c:txPr>
          <a:bodyPr/>
          <a:lstStyle/>
          <a:p>
            <a:pPr>
              <a:defRPr sz="600"/>
            </a:pPr>
            <a:endParaRPr lang="fr-FR"/>
          </a:p>
        </c:txPr>
        <c:crossAx val="164858112"/>
        <c:crossesAt val="-3"/>
        <c:auto val="1"/>
        <c:lblAlgn val="ctr"/>
        <c:lblOffset val="100"/>
      </c:catAx>
      <c:valAx>
        <c:axId val="164858112"/>
        <c:scaling>
          <c:orientation val="minMax"/>
          <c:max val="11"/>
          <c:min val="-3"/>
        </c:scaling>
        <c:axPos val="l"/>
        <c:majorGridlines/>
        <c:minorGridlines/>
        <c:numFmt formatCode="#,##0.0" sourceLinked="1"/>
        <c:tickLblPos val="nextTo"/>
        <c:txPr>
          <a:bodyPr/>
          <a:lstStyle/>
          <a:p>
            <a:pPr>
              <a:defRPr sz="600"/>
            </a:pPr>
            <a:endParaRPr lang="fr-FR"/>
          </a:p>
        </c:txPr>
        <c:crossAx val="164856576"/>
        <c:crosses val="autoZero"/>
        <c:crossBetween val="between"/>
        <c:majorUnit val="1"/>
        <c:minorUnit val="0.2"/>
      </c:valAx>
    </c:plotArea>
    <c:legend>
      <c:legendPos val="r"/>
      <c:spPr>
        <a:solidFill>
          <a:sysClr val="window" lastClr="FFFFFF"/>
        </a:solidFill>
        <a:ln>
          <a:solidFill>
            <a:sysClr val="windowText" lastClr="000000"/>
          </a:solidFill>
        </a:ln>
      </c:spPr>
      <c:txPr>
        <a:bodyPr/>
        <a:lstStyle/>
        <a:p>
          <a:pPr>
            <a:defRPr sz="6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2961</Words>
  <Characters>16291</Characters>
  <Application>Microsoft Office Word</Application>
  <DocSecurity>0</DocSecurity>
  <Lines>135</Lines>
  <Paragraphs>38</Paragraphs>
  <ScaleCrop>false</ScaleCrop>
  <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5</cp:revision>
  <cp:lastPrinted>2019-06-30T07:25:00Z</cp:lastPrinted>
  <dcterms:created xsi:type="dcterms:W3CDTF">2019-06-29T14:55:00Z</dcterms:created>
  <dcterms:modified xsi:type="dcterms:W3CDTF">2019-06-30T07:26:00Z</dcterms:modified>
</cp:coreProperties>
</file>