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10606"/>
      </w:tblGrid>
      <w:tr w:rsidR="00E61E55" w:rsidRPr="00287998" w:rsidTr="00AE1028">
        <w:tc>
          <w:tcPr>
            <w:tcW w:w="10606" w:type="dxa"/>
          </w:tcPr>
          <w:p w:rsidR="00E61E55" w:rsidRPr="007E5768" w:rsidRDefault="00F35289" w:rsidP="00AE1028">
            <w:pPr>
              <w:pStyle w:val="Sansinterligne"/>
              <w:jc w:val="center"/>
              <w:rPr>
                <w:sz w:val="50"/>
                <w:szCs w:val="50"/>
              </w:rPr>
            </w:pPr>
            <w:r>
              <w:rPr>
                <w:sz w:val="50"/>
                <w:szCs w:val="50"/>
              </w:rPr>
              <w:t>Qu’est-ce que la monnaie et comment est-elle créée</w:t>
            </w:r>
            <w:r w:rsidR="00E61E55">
              <w:rPr>
                <w:sz w:val="50"/>
                <w:szCs w:val="50"/>
              </w:rPr>
              <w:t> ?</w:t>
            </w:r>
          </w:p>
          <w:p w:rsidR="00E61E55" w:rsidRPr="007E5768" w:rsidRDefault="00E61E55" w:rsidP="00AE1028">
            <w:pPr>
              <w:pStyle w:val="Sansinterligne"/>
              <w:jc w:val="center"/>
              <w:rPr>
                <w:sz w:val="50"/>
                <w:szCs w:val="50"/>
              </w:rPr>
            </w:pPr>
            <w:r w:rsidRPr="007E5768">
              <w:rPr>
                <w:sz w:val="50"/>
                <w:szCs w:val="50"/>
              </w:rPr>
              <w:t>--</w:t>
            </w:r>
          </w:p>
          <w:p w:rsidR="00E61E55" w:rsidRDefault="00F35289" w:rsidP="00AE1028">
            <w:pPr>
              <w:pStyle w:val="Sansinterligne"/>
              <w:jc w:val="center"/>
              <w:rPr>
                <w:sz w:val="50"/>
                <w:szCs w:val="50"/>
              </w:rPr>
            </w:pPr>
            <w:r>
              <w:rPr>
                <w:sz w:val="50"/>
                <w:szCs w:val="50"/>
              </w:rPr>
              <w:t>Les fonctions de la monnaie</w:t>
            </w:r>
            <w:r w:rsidR="00E61E55" w:rsidRPr="007E5768">
              <w:rPr>
                <w:sz w:val="50"/>
                <w:szCs w:val="50"/>
              </w:rPr>
              <w:t xml:space="preserve"> (</w:t>
            </w:r>
            <w:r w:rsidR="00E61E55">
              <w:rPr>
                <w:sz w:val="50"/>
                <w:szCs w:val="50"/>
              </w:rPr>
              <w:t>1</w:t>
            </w:r>
            <w:r w:rsidR="00E61E55" w:rsidRPr="007E5768">
              <w:rPr>
                <w:sz w:val="50"/>
                <w:szCs w:val="50"/>
              </w:rPr>
              <w:t>/</w:t>
            </w:r>
            <w:r>
              <w:rPr>
                <w:sz w:val="50"/>
                <w:szCs w:val="50"/>
              </w:rPr>
              <w:t>5</w:t>
            </w:r>
            <w:r w:rsidR="00E61E55" w:rsidRPr="007E5768">
              <w:rPr>
                <w:sz w:val="50"/>
                <w:szCs w:val="50"/>
              </w:rPr>
              <w:t>)</w:t>
            </w:r>
          </w:p>
          <w:p w:rsidR="00E61E55" w:rsidRDefault="00E61E55" w:rsidP="00AE1028">
            <w:pPr>
              <w:pStyle w:val="Sansinterligne"/>
              <w:jc w:val="center"/>
              <w:rPr>
                <w:sz w:val="50"/>
                <w:szCs w:val="50"/>
              </w:rPr>
            </w:pPr>
            <w:r>
              <w:rPr>
                <w:sz w:val="50"/>
                <w:szCs w:val="50"/>
              </w:rPr>
              <w:t>--</w:t>
            </w:r>
          </w:p>
          <w:p w:rsidR="00E61E55" w:rsidRPr="00287998" w:rsidRDefault="00E61E55" w:rsidP="00AE1028">
            <w:pPr>
              <w:pStyle w:val="Sansinterligne"/>
              <w:jc w:val="center"/>
            </w:pPr>
            <w:r>
              <w:rPr>
                <w:sz w:val="50"/>
                <w:szCs w:val="50"/>
              </w:rPr>
              <w:t>F</w:t>
            </w:r>
            <w:bookmarkStart w:id="0" w:name="_GoBack"/>
            <w:bookmarkEnd w:id="0"/>
            <w:r>
              <w:rPr>
                <w:sz w:val="50"/>
                <w:szCs w:val="50"/>
              </w:rPr>
              <w:t>ichier d’activités</w:t>
            </w:r>
          </w:p>
        </w:tc>
      </w:tr>
    </w:tbl>
    <w:p w:rsidR="00E61E55" w:rsidRPr="001B6B65" w:rsidRDefault="00E61E55" w:rsidP="00E61E55">
      <w:pPr>
        <w:pBdr>
          <w:bottom w:val="single" w:sz="4" w:space="1" w:color="auto"/>
        </w:pBdr>
        <w:jc w:val="center"/>
        <w:rPr>
          <w:rFonts w:ascii="Calibri Light" w:hAnsi="Calibri Light"/>
          <w:b/>
          <w:color w:val="000000" w:themeColor="text1"/>
          <w:sz w:val="28"/>
          <w:szCs w:val="28"/>
        </w:rPr>
      </w:pPr>
    </w:p>
    <w:p w:rsidR="00E61E55" w:rsidRPr="00506EBE" w:rsidRDefault="00E61E55" w:rsidP="00E61E55">
      <w:pPr>
        <w:pBdr>
          <w:bottom w:val="single" w:sz="4" w:space="1" w:color="auto"/>
        </w:pBdr>
        <w:jc w:val="center"/>
        <w:rPr>
          <w:rStyle w:val="Lienhypertexte"/>
          <w:rFonts w:ascii="Calibri Light" w:hAnsi="Calibri Light"/>
          <w:b/>
          <w:color w:val="000000" w:themeColor="text1"/>
          <w:sz w:val="32"/>
          <w:szCs w:val="32"/>
        </w:rPr>
      </w:pPr>
      <w:r>
        <w:rPr>
          <w:rFonts w:ascii="Calibri Light" w:hAnsi="Calibri Light" w:cs="Calibri Light"/>
          <w:b/>
          <w:color w:val="000000" w:themeColor="text1"/>
          <w:sz w:val="32"/>
          <w:szCs w:val="32"/>
        </w:rPr>
        <w:t>É</w:t>
      </w:r>
      <w:r w:rsidRPr="00506EBE">
        <w:rPr>
          <w:rFonts w:ascii="Calibri Light" w:hAnsi="Calibri Light"/>
          <w:b/>
          <w:color w:val="000000" w:themeColor="text1"/>
          <w:sz w:val="32"/>
          <w:szCs w:val="32"/>
        </w:rPr>
        <w:t xml:space="preserve">tape </w:t>
      </w:r>
      <w:r>
        <w:rPr>
          <w:rFonts w:ascii="Calibri Light" w:hAnsi="Calibri Light"/>
          <w:b/>
          <w:color w:val="000000" w:themeColor="text1"/>
          <w:sz w:val="32"/>
          <w:szCs w:val="32"/>
        </w:rPr>
        <w:t>1</w:t>
      </w:r>
      <w:r w:rsidRPr="00506EBE">
        <w:rPr>
          <w:rFonts w:ascii="Calibri Light" w:hAnsi="Calibri Light"/>
          <w:b/>
          <w:color w:val="000000" w:themeColor="text1"/>
          <w:sz w:val="32"/>
          <w:szCs w:val="32"/>
        </w:rPr>
        <w:t> : (</w:t>
      </w:r>
      <w:r>
        <w:rPr>
          <w:rFonts w:ascii="Calibri Light" w:hAnsi="Calibri Light"/>
          <w:b/>
          <w:color w:val="000000" w:themeColor="text1"/>
          <w:sz w:val="32"/>
          <w:szCs w:val="32"/>
        </w:rPr>
        <w:t>1h</w:t>
      </w:r>
      <w:r w:rsidRPr="00506EBE">
        <w:rPr>
          <w:rFonts w:ascii="Calibri Light" w:hAnsi="Calibri Light"/>
          <w:b/>
          <w:color w:val="000000" w:themeColor="text1"/>
          <w:sz w:val="32"/>
          <w:szCs w:val="32"/>
        </w:rPr>
        <w:t>)</w:t>
      </w:r>
    </w:p>
    <w:p w:rsidR="00E61E55" w:rsidRPr="00942073" w:rsidRDefault="00E61E55" w:rsidP="00E61E55">
      <w:pPr>
        <w:pStyle w:val="Sansinterligne"/>
      </w:pPr>
      <w:r w:rsidRPr="00942073">
        <w:t>Document</w:t>
      </w:r>
      <w:r>
        <w:t xml:space="preserve"> 1 </w:t>
      </w:r>
      <w:r w:rsidR="00F35289">
        <w:t>–</w:t>
      </w:r>
      <w:r w:rsidRPr="00942073">
        <w:t xml:space="preserve"> </w:t>
      </w:r>
      <w:r w:rsidR="00F35289">
        <w:t>Les inconvénients du troc</w:t>
      </w:r>
    </w:p>
    <w:p w:rsidR="00E61E55" w:rsidRPr="001B6B65" w:rsidRDefault="00E61E55" w:rsidP="00E61E55">
      <w:pPr>
        <w:pStyle w:val="Sansinterligne"/>
      </w:pPr>
    </w:p>
    <w:p w:rsidR="00F35289" w:rsidRDefault="00F35289" w:rsidP="00F35289">
      <w:pPr>
        <w:rPr>
          <w:szCs w:val="24"/>
        </w:rPr>
      </w:pPr>
      <w:r w:rsidRPr="00943676">
        <w:rPr>
          <w:szCs w:val="24"/>
        </w:rPr>
        <w:t>Prenez l’exemple d’un chirurgien cardiaque qui veut acheter un nouveau réfrigérateur. Le chirurgien a des services de valeur à o</w:t>
      </w:r>
      <w:r>
        <w:rPr>
          <w:szCs w:val="24"/>
        </w:rPr>
        <w:t>ff</w:t>
      </w:r>
      <w:r w:rsidRPr="00943676">
        <w:rPr>
          <w:szCs w:val="24"/>
        </w:rPr>
        <w:t>rir – des opérations du cœur. Le propriétaire du magasin a des biens de valeur à o</w:t>
      </w:r>
      <w:r>
        <w:rPr>
          <w:szCs w:val="24"/>
        </w:rPr>
        <w:t>ff</w:t>
      </w:r>
      <w:r w:rsidRPr="00943676">
        <w:rPr>
          <w:szCs w:val="24"/>
        </w:rPr>
        <w:t>rir : des réfrigérateurs et d’autres appareils ménagers. […] Dans un système de troc, un chirurgien cardiaque et un propriétaire de magasin d’appareils ménagers ne pourraient échanger que si le propriétaire du magasin se trouvait avoir besoin d’une opération du cœur et si le chirurgien se trouvait avoir besoin d’un nouveau réfrigérateur. On appelle cela le problème de la « double coïncidence des besoins » : dans un système de troc, les deux parties ne peuvent échanger que si chacune désire ce que l’autre a à o</w:t>
      </w:r>
      <w:r>
        <w:rPr>
          <w:szCs w:val="24"/>
        </w:rPr>
        <w:t>ff</w:t>
      </w:r>
      <w:r w:rsidRPr="00943676">
        <w:rPr>
          <w:szCs w:val="24"/>
        </w:rPr>
        <w:t>rir. La monnaie résout ce problème : les individus peuvent échanger ce qu’ils ont à o</w:t>
      </w:r>
      <w:r>
        <w:rPr>
          <w:szCs w:val="24"/>
        </w:rPr>
        <w:t>ff</w:t>
      </w:r>
      <w:r w:rsidRPr="00943676">
        <w:rPr>
          <w:szCs w:val="24"/>
        </w:rPr>
        <w:t>rir contre de la monnaie et échanger de la mo</w:t>
      </w:r>
      <w:r>
        <w:rPr>
          <w:szCs w:val="24"/>
        </w:rPr>
        <w:t>nnaie contre ce qu’ils veulent.</w:t>
      </w:r>
    </w:p>
    <w:p w:rsidR="00F35289" w:rsidRPr="00943676" w:rsidRDefault="00F35289" w:rsidP="00F35289">
      <w:pPr>
        <w:jc w:val="left"/>
        <w:rPr>
          <w:szCs w:val="24"/>
        </w:rPr>
      </w:pPr>
    </w:p>
    <w:p w:rsidR="00F35289" w:rsidRPr="00F35289" w:rsidRDefault="00F35289" w:rsidP="00F35289">
      <w:pPr>
        <w:jc w:val="right"/>
        <w:rPr>
          <w:b/>
          <w:i/>
          <w:szCs w:val="24"/>
        </w:rPr>
      </w:pPr>
      <w:r w:rsidRPr="00F35289">
        <w:rPr>
          <w:b/>
          <w:i/>
          <w:szCs w:val="24"/>
        </w:rPr>
        <w:t xml:space="preserve">Paul </w:t>
      </w:r>
      <w:proofErr w:type="spellStart"/>
      <w:r w:rsidRPr="00F35289">
        <w:rPr>
          <w:b/>
          <w:i/>
          <w:szCs w:val="24"/>
        </w:rPr>
        <w:t>Krugman</w:t>
      </w:r>
      <w:proofErr w:type="spellEnd"/>
      <w:r w:rsidRPr="00F35289">
        <w:rPr>
          <w:b/>
          <w:i/>
          <w:szCs w:val="24"/>
        </w:rPr>
        <w:t>, Robin Wells, Macroéconomie, De Boeck, 2016.</w:t>
      </w:r>
    </w:p>
    <w:p w:rsidR="00F35289" w:rsidRDefault="00F35289" w:rsidP="00F35289"/>
    <w:p w:rsidR="00F35289" w:rsidRPr="00F35289" w:rsidRDefault="00F35289" w:rsidP="00F35289">
      <w:pPr>
        <w:pStyle w:val="Paragraphedeliste"/>
        <w:widowControl w:val="0"/>
        <w:numPr>
          <w:ilvl w:val="0"/>
          <w:numId w:val="8"/>
        </w:numPr>
        <w:autoSpaceDE w:val="0"/>
        <w:autoSpaceDN w:val="0"/>
        <w:adjustRightInd w:val="0"/>
        <w:spacing w:after="0" w:line="240" w:lineRule="auto"/>
        <w:rPr>
          <w:rFonts w:ascii="Calibri" w:hAnsi="Calibri" w:cs="Calibri"/>
        </w:rPr>
      </w:pPr>
      <w:r w:rsidRPr="00F35289">
        <w:rPr>
          <w:rFonts w:ascii="Calibri" w:hAnsi="Calibri" w:cs="Calibri"/>
        </w:rPr>
        <w:t>Qu’est-ce que la « double coïncidence des besoins » dans un système de troc ?</w:t>
      </w:r>
    </w:p>
    <w:p w:rsidR="00F35289" w:rsidRPr="00F35289" w:rsidRDefault="00F35289" w:rsidP="00F35289">
      <w:pPr>
        <w:pStyle w:val="Paragraphedeliste"/>
        <w:widowControl w:val="0"/>
        <w:numPr>
          <w:ilvl w:val="0"/>
          <w:numId w:val="8"/>
        </w:numPr>
        <w:autoSpaceDE w:val="0"/>
        <w:autoSpaceDN w:val="0"/>
        <w:adjustRightInd w:val="0"/>
        <w:spacing w:after="0" w:line="240" w:lineRule="auto"/>
        <w:rPr>
          <w:rFonts w:ascii="Calibri" w:hAnsi="Calibri" w:cs="Calibri"/>
        </w:rPr>
      </w:pPr>
      <w:r w:rsidRPr="00F35289">
        <w:rPr>
          <w:rFonts w:ascii="Calibri" w:hAnsi="Calibri" w:cs="Calibri"/>
        </w:rPr>
        <w:t>Si un réfrigérateur n’a pas la même valeur qu’une opération du cœur, comment déterminer l’échange de valeurs équivalentes entre ces deux personnes ?</w:t>
      </w:r>
    </w:p>
    <w:p w:rsidR="00F35289" w:rsidRPr="00F35289" w:rsidRDefault="00F35289" w:rsidP="00F35289">
      <w:pPr>
        <w:pStyle w:val="Paragraphedeliste"/>
        <w:widowControl w:val="0"/>
        <w:numPr>
          <w:ilvl w:val="0"/>
          <w:numId w:val="8"/>
        </w:numPr>
        <w:autoSpaceDE w:val="0"/>
        <w:autoSpaceDN w:val="0"/>
        <w:adjustRightInd w:val="0"/>
        <w:spacing w:after="0" w:line="240" w:lineRule="auto"/>
        <w:rPr>
          <w:rFonts w:ascii="Calibri" w:hAnsi="Calibri" w:cs="Calibri"/>
        </w:rPr>
      </w:pPr>
      <w:r w:rsidRPr="00F35289">
        <w:rPr>
          <w:rFonts w:ascii="Calibri" w:hAnsi="Calibri" w:cs="Calibri"/>
        </w:rPr>
        <w:t>Peut-on multiplier les échanges de façon importante dans un système de troc ?</w:t>
      </w:r>
    </w:p>
    <w:p w:rsidR="00F35289" w:rsidRPr="00F35289" w:rsidRDefault="00F35289" w:rsidP="00F35289">
      <w:pPr>
        <w:pStyle w:val="Paragraphedeliste"/>
        <w:widowControl w:val="0"/>
        <w:numPr>
          <w:ilvl w:val="0"/>
          <w:numId w:val="8"/>
        </w:numPr>
        <w:autoSpaceDE w:val="0"/>
        <w:autoSpaceDN w:val="0"/>
        <w:adjustRightInd w:val="0"/>
        <w:spacing w:after="0" w:line="240" w:lineRule="auto"/>
        <w:rPr>
          <w:rFonts w:ascii="Calibri" w:hAnsi="Calibri" w:cs="Calibri"/>
        </w:rPr>
      </w:pPr>
      <w:r w:rsidRPr="00F35289">
        <w:rPr>
          <w:rFonts w:ascii="Calibri" w:hAnsi="Calibri" w:cs="Calibri"/>
        </w:rPr>
        <w:t>En quoi l’usage d’une monnaie comme intermédiaire des échanges permet de contourner les inconvénients du troc ?</w:t>
      </w:r>
    </w:p>
    <w:p w:rsidR="00F35289" w:rsidRDefault="00F35289" w:rsidP="00F35289"/>
    <w:p w:rsidR="00E61E55" w:rsidRPr="001B6B65" w:rsidRDefault="00E61E55" w:rsidP="00E61E55">
      <w:pPr>
        <w:pStyle w:val="Sansinterligne"/>
      </w:pPr>
    </w:p>
    <w:p w:rsidR="00E61E55" w:rsidRDefault="00E61E55" w:rsidP="00E61E55">
      <w:pPr>
        <w:jc w:val="left"/>
        <w:rPr>
          <w:rFonts w:ascii="Calibri Light" w:hAnsi="Calibri Light"/>
          <w:b/>
          <w:noProof/>
          <w:color w:val="000000" w:themeColor="text1"/>
          <w:sz w:val="24"/>
          <w:szCs w:val="24"/>
          <w:lang w:eastAsia="fr-FR"/>
        </w:rPr>
      </w:pPr>
      <w:r>
        <w:br w:type="page"/>
      </w:r>
    </w:p>
    <w:p w:rsidR="00E61E55" w:rsidRPr="00942073" w:rsidRDefault="00E61E55" w:rsidP="00E61E55">
      <w:pPr>
        <w:pStyle w:val="Sansinterligne"/>
      </w:pPr>
      <w:r w:rsidRPr="00942073">
        <w:lastRenderedPageBreak/>
        <w:t>Document</w:t>
      </w:r>
      <w:r>
        <w:t xml:space="preserve"> 2 –</w:t>
      </w:r>
      <w:r w:rsidRPr="00942073">
        <w:t xml:space="preserve"> </w:t>
      </w:r>
      <w:r>
        <w:t xml:space="preserve">Les </w:t>
      </w:r>
      <w:r w:rsidR="00F35289">
        <w:t>fonctions économiques de la monnaie</w:t>
      </w:r>
    </w:p>
    <w:p w:rsidR="00E61E55" w:rsidRDefault="00E61E55" w:rsidP="00E61E55">
      <w:pPr>
        <w:pStyle w:val="Sansinterligne"/>
      </w:pPr>
    </w:p>
    <w:p w:rsidR="00F35289" w:rsidRPr="00E50D3C" w:rsidRDefault="00F35289" w:rsidP="00F35289">
      <w:r w:rsidRPr="00E50D3C">
        <w:t xml:space="preserve">Dans sa définition la plus simple, la monnaie est ce qui permet de payer, donc d'éteindre une </w:t>
      </w:r>
      <w:r>
        <w:t>dette</w:t>
      </w:r>
      <w:r w:rsidRPr="00E50D3C">
        <w:t xml:space="preserve"> légale ou sociale. [...] La monnaie remplit trois fonctions essentielles, largement indépendantes l'une de l'autre : elle mesure les valeurs de </w:t>
      </w:r>
      <w:r>
        <w:t>t</w:t>
      </w:r>
      <w:r w:rsidRPr="00E50D3C">
        <w:t>ous les biens et services en une unité commune, elle sert d'intermédiaire universel des échanges, permettant d'acheter tous les biens et services, et elle sert de réserve de valeur. Ces propriétés ne sont géné</w:t>
      </w:r>
      <w:r>
        <w:t>ralement</w:t>
      </w:r>
      <w:r w:rsidRPr="00E50D3C">
        <w:t xml:space="preserve"> vérifiées que dans un espace donné.</w:t>
      </w:r>
    </w:p>
    <w:p w:rsidR="00F35289" w:rsidRPr="00A90264" w:rsidRDefault="00F35289" w:rsidP="00F35289">
      <w:r w:rsidRPr="00E50D3C">
        <w:t xml:space="preserve">En tant qu'unité de compte, la monnaie est la base de toute comptabilité économique. [...] </w:t>
      </w:r>
      <w:r>
        <w:t>« </w:t>
      </w:r>
      <w:r w:rsidRPr="00E50D3C">
        <w:t>Équivalent géné</w:t>
      </w:r>
      <w:r>
        <w:t>ral »</w:t>
      </w:r>
      <w:r w:rsidRPr="00E50D3C">
        <w:t xml:space="preserve">, selon l'expression de Marx, la monnaie permet donc la comparaison de tous les biens économiques. [...] En tant qu'intermédiaire des échanges, la monnaie possède la propriété </w:t>
      </w:r>
      <w:r w:rsidRPr="00A90264">
        <w:t>vertigineuse de pouvoir tout acheter ou presque. [...] En tant que réserve de valeur, la monnaie n'est pas très intéressante, car elle ne ra</w:t>
      </w:r>
      <w:r>
        <w:t>pporte pas de revenu. Les place</w:t>
      </w:r>
      <w:r w:rsidRPr="00A90264">
        <w:t>ments, notamment financiers, lui sont donc fréquemment préférés. Cependant, la monnaie présente l'avantage d'être parfaitement liquide : elle peut être utilisée sans délai, sans risque de perte nominale et sans coût pour payer.</w:t>
      </w:r>
    </w:p>
    <w:p w:rsidR="00F35289" w:rsidRDefault="00F35289" w:rsidP="00F35289"/>
    <w:p w:rsidR="00F35289" w:rsidRPr="00F35289" w:rsidRDefault="00F35289" w:rsidP="00F35289">
      <w:pPr>
        <w:jc w:val="right"/>
        <w:rPr>
          <w:b/>
          <w:i/>
        </w:rPr>
      </w:pPr>
      <w:r w:rsidRPr="00F35289">
        <w:rPr>
          <w:b/>
          <w:i/>
        </w:rPr>
        <w:t xml:space="preserve">Arnaud </w:t>
      </w:r>
      <w:proofErr w:type="spellStart"/>
      <w:r w:rsidRPr="00F35289">
        <w:rPr>
          <w:b/>
          <w:i/>
        </w:rPr>
        <w:t>Parienty</w:t>
      </w:r>
      <w:proofErr w:type="spellEnd"/>
      <w:r w:rsidRPr="00F35289">
        <w:rPr>
          <w:b/>
          <w:i/>
        </w:rPr>
        <w:t>, Précis d’économie, La Découverte, 2017</w:t>
      </w:r>
    </w:p>
    <w:p w:rsidR="00F35289" w:rsidRDefault="00F35289" w:rsidP="00F35289"/>
    <w:p w:rsidR="00F35289" w:rsidRPr="00F35289" w:rsidRDefault="00F35289" w:rsidP="00F35289">
      <w:pPr>
        <w:pStyle w:val="Paragraphedeliste"/>
        <w:widowControl w:val="0"/>
        <w:numPr>
          <w:ilvl w:val="0"/>
          <w:numId w:val="9"/>
        </w:numPr>
        <w:autoSpaceDE w:val="0"/>
        <w:autoSpaceDN w:val="0"/>
        <w:adjustRightInd w:val="0"/>
        <w:spacing w:after="0" w:line="240" w:lineRule="auto"/>
        <w:rPr>
          <w:rFonts w:ascii="Calibri" w:hAnsi="Calibri" w:cs="Calibri"/>
        </w:rPr>
      </w:pPr>
      <w:r w:rsidRPr="00F35289">
        <w:rPr>
          <w:rFonts w:ascii="Calibri" w:hAnsi="Calibri" w:cs="Calibri"/>
        </w:rPr>
        <w:t>Quelles sont les trois fonctions économiques de la monnaie ?</w:t>
      </w:r>
    </w:p>
    <w:p w:rsidR="00F35289" w:rsidRPr="00F35289" w:rsidRDefault="00F35289" w:rsidP="00F35289">
      <w:pPr>
        <w:pStyle w:val="Paragraphedeliste"/>
        <w:widowControl w:val="0"/>
        <w:numPr>
          <w:ilvl w:val="0"/>
          <w:numId w:val="9"/>
        </w:numPr>
        <w:autoSpaceDE w:val="0"/>
        <w:autoSpaceDN w:val="0"/>
        <w:adjustRightInd w:val="0"/>
        <w:spacing w:after="0" w:line="240" w:lineRule="auto"/>
        <w:rPr>
          <w:rFonts w:ascii="Calibri" w:hAnsi="Calibri" w:cs="Calibri"/>
        </w:rPr>
      </w:pPr>
      <w:r w:rsidRPr="00F35289">
        <w:rPr>
          <w:rFonts w:ascii="Calibri" w:hAnsi="Calibri" w:cs="Calibri"/>
        </w:rPr>
        <w:t>Illustrez par un exemple de votre choix, chacune de ces fonctions.</w:t>
      </w:r>
    </w:p>
    <w:p w:rsidR="00F35289" w:rsidRPr="00F35289" w:rsidRDefault="00F35289" w:rsidP="00F35289">
      <w:pPr>
        <w:pStyle w:val="Paragraphedeliste"/>
        <w:widowControl w:val="0"/>
        <w:numPr>
          <w:ilvl w:val="0"/>
          <w:numId w:val="9"/>
        </w:numPr>
        <w:autoSpaceDE w:val="0"/>
        <w:autoSpaceDN w:val="0"/>
        <w:adjustRightInd w:val="0"/>
        <w:spacing w:after="0" w:line="240" w:lineRule="auto"/>
        <w:rPr>
          <w:rFonts w:ascii="Calibri" w:hAnsi="Calibri" w:cs="Calibri"/>
        </w:rPr>
      </w:pPr>
      <w:r w:rsidRPr="00F35289">
        <w:rPr>
          <w:rFonts w:ascii="Calibri" w:hAnsi="Calibri" w:cs="Calibri"/>
        </w:rPr>
        <w:t>Pourquoi ces fonctions économiques de la monnaie ne valent-elles que dans un espace donné ?</w:t>
      </w:r>
    </w:p>
    <w:p w:rsidR="00F35289" w:rsidRPr="00F35289" w:rsidRDefault="00F35289" w:rsidP="00F35289">
      <w:pPr>
        <w:pStyle w:val="Paragraphedeliste"/>
        <w:widowControl w:val="0"/>
        <w:numPr>
          <w:ilvl w:val="0"/>
          <w:numId w:val="9"/>
        </w:numPr>
        <w:autoSpaceDE w:val="0"/>
        <w:autoSpaceDN w:val="0"/>
        <w:adjustRightInd w:val="0"/>
        <w:spacing w:after="0" w:line="240" w:lineRule="auto"/>
        <w:rPr>
          <w:rFonts w:ascii="Calibri" w:hAnsi="Calibri" w:cs="Calibri"/>
        </w:rPr>
      </w:pPr>
      <w:r w:rsidRPr="00F35289">
        <w:rPr>
          <w:rFonts w:ascii="Calibri" w:hAnsi="Calibri" w:cs="Calibri"/>
        </w:rPr>
        <w:t>Que veut dire l’expression : « la monnaie présente l'avantage d'être parfaitement liquide » ?</w:t>
      </w:r>
    </w:p>
    <w:p w:rsidR="00E61E55" w:rsidRDefault="00E61E55" w:rsidP="00E61E55">
      <w:pPr>
        <w:jc w:val="left"/>
        <w:rPr>
          <w:rFonts w:ascii="Calibri Light" w:hAnsi="Calibri Light"/>
          <w:b/>
          <w:noProof/>
          <w:color w:val="000000" w:themeColor="text1"/>
          <w:sz w:val="24"/>
          <w:szCs w:val="24"/>
          <w:lang w:eastAsia="fr-FR"/>
        </w:rPr>
      </w:pPr>
      <w:r>
        <w:br w:type="page"/>
      </w:r>
    </w:p>
    <w:p w:rsidR="00E61E55" w:rsidRPr="00942073" w:rsidRDefault="00E61E55" w:rsidP="00E61E55">
      <w:pPr>
        <w:pStyle w:val="Sansinterligne"/>
      </w:pPr>
      <w:r w:rsidRPr="00942073">
        <w:lastRenderedPageBreak/>
        <w:t>Document</w:t>
      </w:r>
      <w:r>
        <w:t xml:space="preserve"> 3 –</w:t>
      </w:r>
      <w:r w:rsidRPr="00942073">
        <w:t xml:space="preserve"> </w:t>
      </w:r>
      <w:r>
        <w:t xml:space="preserve">Les </w:t>
      </w:r>
      <w:r w:rsidR="00F35289">
        <w:t>fonctions sociales de la monnaie</w:t>
      </w:r>
    </w:p>
    <w:p w:rsidR="00E61E55" w:rsidRDefault="00E61E55" w:rsidP="00E61E55">
      <w:pPr>
        <w:pStyle w:val="Sansinterligne"/>
      </w:pPr>
    </w:p>
    <w:p w:rsidR="00F35289" w:rsidRDefault="00F35289" w:rsidP="00F35289">
      <w:r w:rsidRPr="00A058C6">
        <w:t>La monnaie utilisée pour payer un achat a un pouvoir libératoire que n'aurait pas une reconnaissance de dette : la monnaie versée éteint immédiatement sa dette vis-à-vis du vendeur. Ce dernier l'accepte parce que les autres vendeurs l'acceptent (convention sociale) et que ce règlement en monnaie représente pour lui une promesse socialement garantie qu'il pourra l'utiliser pour ses propres achats. L'utilisation de la monnaie implique ainsi une coordination sociale, l'adhésion de tous à l'évaluation et au paiement en monnaie. Les symboles qui ornent les instruments de paiement matériels (pièces et billets) ont toujours eu pour fonction d'entretenir cette adhésion sociale autour de la monnaie, cette confiance sans laquelle la monnaie serait dépossédée de ses fonctions. Et c'est de cette confiance que dépend l'existence de la monnaie, bien plus que de ses supports qui n'ont cessé de se dématérialiser : des marchandises, puis des métaux précieux, puis de simples métaux, puis des billets, puis des écritures (monnaie scripturale) sur un compte bancaire qui lui-même s'est dématérialisé, les livres comptables ayant cédé la place à</w:t>
      </w:r>
      <w:r>
        <w:t xml:space="preserve"> des fichiers informatiques.</w:t>
      </w:r>
    </w:p>
    <w:p w:rsidR="00F35289" w:rsidRDefault="00F35289" w:rsidP="00F35289"/>
    <w:p w:rsidR="00F35289" w:rsidRPr="00F35289" w:rsidRDefault="00F35289" w:rsidP="00F35289">
      <w:pPr>
        <w:jc w:val="right"/>
        <w:rPr>
          <w:b/>
          <w:i/>
        </w:rPr>
      </w:pPr>
      <w:r w:rsidRPr="00F35289">
        <w:rPr>
          <w:b/>
          <w:i/>
        </w:rPr>
        <w:t xml:space="preserve">Jézabel </w:t>
      </w:r>
      <w:proofErr w:type="spellStart"/>
      <w:r w:rsidRPr="00F35289">
        <w:rPr>
          <w:b/>
          <w:i/>
        </w:rPr>
        <w:t>Couppey</w:t>
      </w:r>
      <w:proofErr w:type="spellEnd"/>
      <w:r w:rsidRPr="00F35289">
        <w:rPr>
          <w:b/>
          <w:i/>
        </w:rPr>
        <w:t>-</w:t>
      </w:r>
      <w:proofErr w:type="spellStart"/>
      <w:r w:rsidRPr="00F35289">
        <w:rPr>
          <w:b/>
          <w:i/>
        </w:rPr>
        <w:t>Soubeyran</w:t>
      </w:r>
      <w:proofErr w:type="spellEnd"/>
      <w:r w:rsidRPr="00F35289">
        <w:rPr>
          <w:b/>
          <w:i/>
        </w:rPr>
        <w:t>, Monnaie, banques, finance, Quadrige manuels, PUF, janvier 2017.</w:t>
      </w:r>
    </w:p>
    <w:p w:rsidR="00F35289" w:rsidRDefault="00F35289" w:rsidP="00F35289"/>
    <w:p w:rsidR="00F35289" w:rsidRPr="00F35289" w:rsidRDefault="00F35289" w:rsidP="00F35289">
      <w:pPr>
        <w:pStyle w:val="Paragraphedeliste"/>
        <w:widowControl w:val="0"/>
        <w:numPr>
          <w:ilvl w:val="0"/>
          <w:numId w:val="10"/>
        </w:numPr>
        <w:autoSpaceDE w:val="0"/>
        <w:autoSpaceDN w:val="0"/>
        <w:adjustRightInd w:val="0"/>
        <w:spacing w:after="0" w:line="240" w:lineRule="auto"/>
        <w:rPr>
          <w:rFonts w:ascii="Calibri" w:hAnsi="Calibri" w:cs="Calibri"/>
        </w:rPr>
      </w:pPr>
      <w:r w:rsidRPr="00F35289">
        <w:rPr>
          <w:rFonts w:ascii="Calibri" w:hAnsi="Calibri" w:cs="Calibri"/>
        </w:rPr>
        <w:t>Pourquoi toute monnaie est une convention sociale ?</w:t>
      </w:r>
    </w:p>
    <w:p w:rsidR="00F35289" w:rsidRPr="00F35289" w:rsidRDefault="00F35289" w:rsidP="00F35289">
      <w:pPr>
        <w:pStyle w:val="Paragraphedeliste"/>
        <w:widowControl w:val="0"/>
        <w:numPr>
          <w:ilvl w:val="0"/>
          <w:numId w:val="10"/>
        </w:numPr>
        <w:autoSpaceDE w:val="0"/>
        <w:autoSpaceDN w:val="0"/>
        <w:adjustRightInd w:val="0"/>
        <w:spacing w:after="0" w:line="240" w:lineRule="auto"/>
        <w:rPr>
          <w:rFonts w:ascii="Calibri" w:hAnsi="Calibri" w:cs="Calibri"/>
        </w:rPr>
      </w:pPr>
      <w:r w:rsidRPr="00F35289">
        <w:rPr>
          <w:rFonts w:ascii="Calibri" w:hAnsi="Calibri" w:cs="Calibri"/>
        </w:rPr>
        <w:t>Pourquoi la monnaie a-t-elle besoin de confiance pour exister ?</w:t>
      </w:r>
    </w:p>
    <w:p w:rsidR="00F35289" w:rsidRPr="00F35289" w:rsidRDefault="00F35289" w:rsidP="00F35289">
      <w:pPr>
        <w:pStyle w:val="Paragraphedeliste"/>
        <w:widowControl w:val="0"/>
        <w:numPr>
          <w:ilvl w:val="0"/>
          <w:numId w:val="10"/>
        </w:numPr>
        <w:autoSpaceDE w:val="0"/>
        <w:autoSpaceDN w:val="0"/>
        <w:adjustRightInd w:val="0"/>
        <w:spacing w:after="0" w:line="240" w:lineRule="auto"/>
        <w:rPr>
          <w:rFonts w:ascii="Calibri" w:hAnsi="Calibri" w:cs="Calibri"/>
        </w:rPr>
      </w:pPr>
      <w:r w:rsidRPr="00F35289">
        <w:rPr>
          <w:rFonts w:ascii="Calibri" w:hAnsi="Calibri" w:cs="Calibri"/>
        </w:rPr>
        <w:t>Pourquoi la monnaie renforce-t-elle la cohésion sociale ?</w:t>
      </w:r>
    </w:p>
    <w:p w:rsidR="00E61E55" w:rsidRDefault="00E61E55" w:rsidP="00E61E55">
      <w:pPr>
        <w:pStyle w:val="Sansinterligne"/>
      </w:pPr>
    </w:p>
    <w:p w:rsidR="00E61E55" w:rsidRDefault="00E61E55" w:rsidP="00E61E55">
      <w:pPr>
        <w:jc w:val="left"/>
        <w:rPr>
          <w:rFonts w:ascii="Calibri Light" w:hAnsi="Calibri Light"/>
          <w:b/>
          <w:noProof/>
          <w:color w:val="000000" w:themeColor="text1"/>
          <w:sz w:val="24"/>
          <w:szCs w:val="24"/>
          <w:lang w:eastAsia="fr-FR"/>
        </w:rPr>
      </w:pPr>
      <w:r>
        <w:br w:type="page"/>
      </w:r>
    </w:p>
    <w:p w:rsidR="00E61E55" w:rsidRPr="00942073" w:rsidRDefault="00E61E55" w:rsidP="00E61E55">
      <w:pPr>
        <w:pStyle w:val="Sansinterligne"/>
      </w:pPr>
      <w:r w:rsidRPr="00942073">
        <w:lastRenderedPageBreak/>
        <w:t>Document</w:t>
      </w:r>
      <w:r>
        <w:t xml:space="preserve"> 4 –</w:t>
      </w:r>
      <w:r w:rsidRPr="00942073">
        <w:t xml:space="preserve"> </w:t>
      </w:r>
      <w:r w:rsidR="00F35289">
        <w:t>Les fonctions sociales et politiques de la monnaie</w:t>
      </w:r>
    </w:p>
    <w:p w:rsidR="00E61E55" w:rsidRDefault="00E61E55" w:rsidP="00E61E55">
      <w:pPr>
        <w:pStyle w:val="Sansinterligne"/>
      </w:pPr>
    </w:p>
    <w:p w:rsidR="00F35289" w:rsidRPr="007A2400" w:rsidRDefault="00F35289" w:rsidP="00F35289">
      <w:r w:rsidRPr="007A2400">
        <w:t>La monnaie est née bien avant le marché. [...] Il s'agissait, pour le détenteur du pouvoir politique, d'affirmer ce pouvoir et de percevoir un tribut, un peu comme le faisait le colonisateur qui exigeait un impôt payé en monnaie afin de contraindre les colonisés à travailler dans les exploitations coloniales où ils étaient aussi payés en monnaie. [...] La monnaie est « entre</w:t>
      </w:r>
      <w:r>
        <w:t xml:space="preserve"> </w:t>
      </w:r>
      <w:r w:rsidRPr="007A2400">
        <w:t xml:space="preserve">violence [le souverain impose] et confiance [le lien social se renforce] », titre d'un livre de Michel </w:t>
      </w:r>
      <w:proofErr w:type="spellStart"/>
      <w:r w:rsidRPr="007A2400">
        <w:t>Aglietta</w:t>
      </w:r>
      <w:proofErr w:type="spellEnd"/>
      <w:r w:rsidRPr="007A2400">
        <w:t xml:space="preserve"> et André </w:t>
      </w:r>
      <w:proofErr w:type="spellStart"/>
      <w:r w:rsidRPr="007A2400">
        <w:t>Orléan</w:t>
      </w:r>
      <w:proofErr w:type="spellEnd"/>
      <w:r w:rsidRPr="007A2400">
        <w:t xml:space="preserve"> : </w:t>
      </w:r>
      <w:r>
        <w:t>« </w:t>
      </w:r>
      <w:r w:rsidRPr="007A2400">
        <w:t>La monnaie est le premier lien social, l'institution dont la cohésion des sociétés dépend au premier chef</w:t>
      </w:r>
      <w:r>
        <w:t> »</w:t>
      </w:r>
      <w:r w:rsidRPr="007A2400">
        <w:t xml:space="preserve">. En outre, elle permet de dériver vers l'argent les désirs d'appropriation de ce que possède autrui. Keynes estimait que </w:t>
      </w:r>
      <w:r>
        <w:t>« </w:t>
      </w:r>
      <w:r w:rsidRPr="007A2400">
        <w:t>la possibilité de gagner de l'argent et de constituer une fortune peut canaliser certains penchants dangereux de la nature humaine dans une voie où ils sont relativement inoffensifs</w:t>
      </w:r>
      <w:r>
        <w:t> »</w:t>
      </w:r>
      <w:r w:rsidRPr="007A2400">
        <w:t>. La monnaie influe sur la société tout entière : faire des affaires est une alternative à faire la guerre.</w:t>
      </w:r>
    </w:p>
    <w:p w:rsidR="00F35289" w:rsidRDefault="00F35289" w:rsidP="00F35289"/>
    <w:p w:rsidR="00F35289" w:rsidRPr="00F35289" w:rsidRDefault="00F35289" w:rsidP="00F35289">
      <w:pPr>
        <w:jc w:val="right"/>
        <w:rPr>
          <w:b/>
          <w:i/>
        </w:rPr>
      </w:pPr>
      <w:r w:rsidRPr="00F35289">
        <w:rPr>
          <w:b/>
          <w:i/>
        </w:rPr>
        <w:t>Denis Clerc, La monnaie, in L'économie en débats, Alternatives économiques. Dossier Hors-série N°006, septembre 2017.</w:t>
      </w:r>
    </w:p>
    <w:p w:rsidR="00F35289" w:rsidRDefault="00F35289" w:rsidP="00F35289"/>
    <w:p w:rsidR="00F35289" w:rsidRPr="00F35289" w:rsidRDefault="00F35289" w:rsidP="00F35289">
      <w:pPr>
        <w:pStyle w:val="Paragraphedeliste"/>
        <w:widowControl w:val="0"/>
        <w:numPr>
          <w:ilvl w:val="0"/>
          <w:numId w:val="11"/>
        </w:numPr>
        <w:autoSpaceDE w:val="0"/>
        <w:autoSpaceDN w:val="0"/>
        <w:adjustRightInd w:val="0"/>
        <w:spacing w:after="0" w:line="240" w:lineRule="auto"/>
        <w:rPr>
          <w:rFonts w:ascii="Calibri" w:hAnsi="Calibri" w:cs="Calibri"/>
        </w:rPr>
      </w:pPr>
      <w:r w:rsidRPr="00F35289">
        <w:rPr>
          <w:rFonts w:ascii="Calibri" w:hAnsi="Calibri" w:cs="Calibri"/>
        </w:rPr>
        <w:t>La monnaie ne sert-elle qu’à l’échange marchand ?</w:t>
      </w:r>
    </w:p>
    <w:p w:rsidR="00F35289" w:rsidRPr="00F35289" w:rsidRDefault="00F35289" w:rsidP="00F35289">
      <w:pPr>
        <w:pStyle w:val="Paragraphedeliste"/>
        <w:widowControl w:val="0"/>
        <w:numPr>
          <w:ilvl w:val="0"/>
          <w:numId w:val="11"/>
        </w:numPr>
        <w:autoSpaceDE w:val="0"/>
        <w:autoSpaceDN w:val="0"/>
        <w:adjustRightInd w:val="0"/>
        <w:spacing w:after="0" w:line="240" w:lineRule="auto"/>
        <w:rPr>
          <w:rFonts w:ascii="Calibri" w:hAnsi="Calibri" w:cs="Calibri"/>
        </w:rPr>
      </w:pPr>
      <w:r w:rsidRPr="00F35289">
        <w:rPr>
          <w:rFonts w:ascii="Calibri" w:hAnsi="Calibri" w:cs="Calibri"/>
        </w:rPr>
        <w:t>En quoi la monnaie permet-elle au pouvoir politique d’obtenir un tribut ?</w:t>
      </w:r>
    </w:p>
    <w:p w:rsidR="00F35289" w:rsidRPr="00F35289" w:rsidRDefault="00F35289" w:rsidP="00F35289">
      <w:pPr>
        <w:pStyle w:val="Paragraphedeliste"/>
        <w:widowControl w:val="0"/>
        <w:numPr>
          <w:ilvl w:val="0"/>
          <w:numId w:val="11"/>
        </w:numPr>
        <w:autoSpaceDE w:val="0"/>
        <w:autoSpaceDN w:val="0"/>
        <w:adjustRightInd w:val="0"/>
        <w:spacing w:after="0" w:line="240" w:lineRule="auto"/>
        <w:rPr>
          <w:rFonts w:ascii="Calibri" w:hAnsi="Calibri" w:cs="Calibri"/>
        </w:rPr>
      </w:pPr>
      <w:r w:rsidRPr="00F35289">
        <w:rPr>
          <w:rFonts w:ascii="Calibri" w:hAnsi="Calibri" w:cs="Calibri"/>
        </w:rPr>
        <w:t>Pourquoi la monnaie est-elle associée à une forme de violence et en même temps à la cohésion sociale ?</w:t>
      </w:r>
    </w:p>
    <w:p w:rsidR="00F35289" w:rsidRPr="00F35289" w:rsidRDefault="00F35289" w:rsidP="00F35289">
      <w:pPr>
        <w:pStyle w:val="Paragraphedeliste"/>
        <w:widowControl w:val="0"/>
        <w:numPr>
          <w:ilvl w:val="0"/>
          <w:numId w:val="11"/>
        </w:numPr>
        <w:autoSpaceDE w:val="0"/>
        <w:autoSpaceDN w:val="0"/>
        <w:adjustRightInd w:val="0"/>
        <w:spacing w:after="0" w:line="240" w:lineRule="auto"/>
        <w:rPr>
          <w:rFonts w:ascii="Calibri" w:hAnsi="Calibri" w:cs="Calibri"/>
        </w:rPr>
      </w:pPr>
      <w:r w:rsidRPr="00F35289">
        <w:rPr>
          <w:rFonts w:ascii="Calibri" w:hAnsi="Calibri" w:cs="Calibri"/>
        </w:rPr>
        <w:t>Comment la monnaie permet-elle de canaliser cette violence ?</w:t>
      </w:r>
    </w:p>
    <w:p w:rsidR="00E61E55" w:rsidRDefault="00E61E55" w:rsidP="00E61E55">
      <w:pPr>
        <w:jc w:val="left"/>
        <w:rPr>
          <w:rFonts w:ascii="Calibri Light" w:hAnsi="Calibri Light"/>
          <w:b/>
          <w:color w:val="000000" w:themeColor="text1"/>
          <w:sz w:val="32"/>
          <w:szCs w:val="32"/>
        </w:rPr>
      </w:pPr>
      <w:r>
        <w:rPr>
          <w:rFonts w:ascii="Calibri Light" w:hAnsi="Calibri Light"/>
          <w:b/>
          <w:color w:val="000000" w:themeColor="text1"/>
          <w:sz w:val="32"/>
          <w:szCs w:val="32"/>
        </w:rPr>
        <w:br w:type="page"/>
      </w:r>
    </w:p>
    <w:p w:rsidR="00E61E55" w:rsidRPr="00506EBE" w:rsidRDefault="00E61E55" w:rsidP="00E61E55">
      <w:pPr>
        <w:pBdr>
          <w:bottom w:val="single" w:sz="4" w:space="1" w:color="auto"/>
        </w:pBdr>
        <w:jc w:val="center"/>
        <w:rPr>
          <w:rFonts w:ascii="Calibri Light" w:hAnsi="Calibri Light"/>
          <w:b/>
          <w:color w:val="000000" w:themeColor="text1"/>
          <w:sz w:val="32"/>
          <w:szCs w:val="32"/>
        </w:rPr>
      </w:pPr>
      <w:r>
        <w:rPr>
          <w:rFonts w:ascii="Calibri Light" w:hAnsi="Calibri Light" w:cs="Calibri Light"/>
          <w:b/>
          <w:color w:val="000000" w:themeColor="text1"/>
          <w:sz w:val="32"/>
          <w:szCs w:val="32"/>
        </w:rPr>
        <w:lastRenderedPageBreak/>
        <w:t>É</w:t>
      </w:r>
      <w:r w:rsidRPr="00506EBE">
        <w:rPr>
          <w:rFonts w:ascii="Calibri Light" w:hAnsi="Calibri Light"/>
          <w:b/>
          <w:color w:val="000000" w:themeColor="text1"/>
          <w:sz w:val="32"/>
          <w:szCs w:val="32"/>
        </w:rPr>
        <w:t xml:space="preserve">tape </w:t>
      </w:r>
      <w:r>
        <w:rPr>
          <w:rFonts w:ascii="Calibri Light" w:hAnsi="Calibri Light"/>
          <w:b/>
          <w:color w:val="000000" w:themeColor="text1"/>
          <w:sz w:val="32"/>
          <w:szCs w:val="32"/>
        </w:rPr>
        <w:t>2</w:t>
      </w:r>
      <w:r w:rsidRPr="00506EBE">
        <w:rPr>
          <w:rFonts w:ascii="Calibri Light" w:hAnsi="Calibri Light"/>
          <w:b/>
          <w:color w:val="000000" w:themeColor="text1"/>
          <w:sz w:val="32"/>
          <w:szCs w:val="32"/>
        </w:rPr>
        <w:t> : Tâche finale (</w:t>
      </w:r>
      <w:r w:rsidR="00F35289">
        <w:rPr>
          <w:rFonts w:ascii="Calibri Light" w:hAnsi="Calibri Light"/>
          <w:b/>
          <w:color w:val="000000" w:themeColor="text1"/>
          <w:sz w:val="32"/>
          <w:szCs w:val="32"/>
        </w:rPr>
        <w:t>1 h</w:t>
      </w:r>
      <w:r w:rsidRPr="00506EBE">
        <w:rPr>
          <w:rFonts w:ascii="Calibri Light" w:hAnsi="Calibri Light"/>
          <w:b/>
          <w:color w:val="000000" w:themeColor="text1"/>
          <w:sz w:val="32"/>
          <w:szCs w:val="32"/>
        </w:rPr>
        <w:t>)</w:t>
      </w:r>
    </w:p>
    <w:p w:rsidR="00F35289" w:rsidRPr="00F35289" w:rsidRDefault="00F35289" w:rsidP="00F35289">
      <w:pPr>
        <w:jc w:val="center"/>
        <w:rPr>
          <w:b/>
          <w:sz w:val="24"/>
          <w:szCs w:val="24"/>
        </w:rPr>
      </w:pPr>
      <w:r w:rsidRPr="00F35289">
        <w:rPr>
          <w:b/>
          <w:sz w:val="24"/>
          <w:szCs w:val="24"/>
        </w:rPr>
        <w:t>Épreuve commune de contrôle continu (E3C) – Partie 2</w:t>
      </w:r>
    </w:p>
    <w:p w:rsidR="00F35289" w:rsidRDefault="00F35289" w:rsidP="001F5F95">
      <w:pPr>
        <w:spacing w:after="0" w:line="240" w:lineRule="auto"/>
      </w:pPr>
    </w:p>
    <w:p w:rsidR="00F35289" w:rsidRPr="00F35289" w:rsidRDefault="00F35289" w:rsidP="001F5F95">
      <w:pPr>
        <w:spacing w:after="0" w:line="240" w:lineRule="auto"/>
        <w:rPr>
          <w:b/>
          <w:sz w:val="24"/>
          <w:szCs w:val="24"/>
        </w:rPr>
      </w:pPr>
      <w:r w:rsidRPr="00F35289">
        <w:rPr>
          <w:b/>
          <w:sz w:val="24"/>
          <w:szCs w:val="24"/>
        </w:rPr>
        <w:t>Sujet</w:t>
      </w:r>
    </w:p>
    <w:p w:rsidR="00F35289" w:rsidRDefault="00F35289" w:rsidP="001F5F95">
      <w:pPr>
        <w:spacing w:after="0" w:line="240" w:lineRule="auto"/>
      </w:pPr>
      <w:r>
        <w:t>La monnaie du Venezuela (le bolivar) remplit-elle encore toutes les fonctions que l’on attribue à une monnaie ?</w:t>
      </w:r>
    </w:p>
    <w:p w:rsidR="00F35289" w:rsidRDefault="00F35289" w:rsidP="00F35289"/>
    <w:p w:rsidR="00F35289" w:rsidRPr="00447574" w:rsidRDefault="00F35289" w:rsidP="00F35289">
      <w:pPr>
        <w:rPr>
          <w:b/>
        </w:rPr>
      </w:pPr>
      <w:r w:rsidRPr="00447574">
        <w:rPr>
          <w:b/>
        </w:rPr>
        <w:t>Document 1</w:t>
      </w:r>
    </w:p>
    <w:p w:rsidR="00F35289" w:rsidRDefault="00F35289" w:rsidP="00F35289">
      <w:r w:rsidRPr="00A248BB">
        <w:t xml:space="preserve">Face à la chute des exportations de pétrole, le pays a commencé à rentrer de moins en moins de devises, et a donc eu du mal à se fournir les biens nécessaires pour vivre, même les plus basiques. Cette pénurie a généré une hyperinflation parmi les plus spectaculaires de ces dernières décennies. D'un taux déjà élevé de 44% en 2013, le Venezuela a vu son inflation passer à… 1.370.000% en 2018, selon les estimations du FMI. Une situation qui a poussé des centaines de milliers de citoyens dans la rue. Pour faire face à la crise, le gouvernement vénézuélien a pris la décision l'année dernière de retirer cinq zéros de ses billets, et, plus surprenant, de lancer une </w:t>
      </w:r>
      <w:proofErr w:type="spellStart"/>
      <w:r w:rsidRPr="00A248BB">
        <w:t>cryptomonnaie</w:t>
      </w:r>
      <w:proofErr w:type="spellEnd"/>
      <w:r w:rsidRPr="00A248BB">
        <w:t xml:space="preserve">, le </w:t>
      </w:r>
      <w:r>
        <w:t>« </w:t>
      </w:r>
      <w:r w:rsidRPr="00A248BB">
        <w:t>Petro</w:t>
      </w:r>
      <w:r>
        <w:t> »</w:t>
      </w:r>
      <w:r>
        <w:rPr>
          <w:vertAlign w:val="superscript"/>
        </w:rPr>
        <w:t>1</w:t>
      </w:r>
      <w:r w:rsidRPr="00A248BB">
        <w:t xml:space="preserve">, la première monnaie virtuelle émise par un </w:t>
      </w:r>
      <w:r w:rsidRPr="00661A66">
        <w:t>É</w:t>
      </w:r>
      <w:r w:rsidRPr="00A248BB">
        <w:t xml:space="preserve">tat souverain. Mais ce Petro relève davantage de la pensée magique que d'une politique monétaire et financière cohérente qui contribuerait à la nécessaire stabilisation de l'économie vénézuélienne, écrit Christophe </w:t>
      </w:r>
      <w:proofErr w:type="spellStart"/>
      <w:r w:rsidRPr="00A248BB">
        <w:t>Destais</w:t>
      </w:r>
      <w:proofErr w:type="spellEnd"/>
      <w:r w:rsidRPr="00A248BB">
        <w:t xml:space="preserve">, économiste au </w:t>
      </w:r>
      <w:proofErr w:type="spellStart"/>
      <w:r w:rsidRPr="00A248BB">
        <w:t>Cepii</w:t>
      </w:r>
      <w:proofErr w:type="spellEnd"/>
      <w:r w:rsidRPr="00A248BB">
        <w:t>. Les autorités vénézuéliennes actuelles n'ont ni la crédibilité ni, sans doute, les compétences nécessaires pour engager un plan de réforme monétaire et économique digne de confiance.</w:t>
      </w:r>
    </w:p>
    <w:p w:rsidR="00F35289" w:rsidRPr="00F35289" w:rsidRDefault="00EF7F5E" w:rsidP="00F35289">
      <w:pPr>
        <w:jc w:val="right"/>
        <w:rPr>
          <w:b/>
          <w:i/>
        </w:rPr>
      </w:pPr>
      <w:hyperlink r:id="rId7" w:history="1">
        <w:r w:rsidR="00F35289" w:rsidRPr="00F35289">
          <w:rPr>
            <w:rStyle w:val="Lienhypertexte"/>
            <w:b/>
            <w:i/>
          </w:rPr>
          <w:t>Guillaume Allier, Challenges, le 26.01.2019</w:t>
        </w:r>
      </w:hyperlink>
    </w:p>
    <w:p w:rsidR="00F35289" w:rsidRPr="00573D39" w:rsidRDefault="00F35289" w:rsidP="00F35289">
      <w:pPr>
        <w:rPr>
          <w:szCs w:val="20"/>
        </w:rPr>
      </w:pPr>
      <w:r w:rsidRPr="00573D39">
        <w:rPr>
          <w:szCs w:val="20"/>
        </w:rPr>
        <w:t>1. Petro : monnaie virtuelle (électronique) utilisable sur les réseaux informatiques. La valeur du Petro est garantie par les réserves pétrolières du pays, ainsi que son stock d'or et de diamants et est indexée sur le cours mondial du pétrole.</w:t>
      </w:r>
    </w:p>
    <w:p w:rsidR="00F35289" w:rsidRDefault="00F35289" w:rsidP="00F35289"/>
    <w:p w:rsidR="00F35289" w:rsidRDefault="00F35289" w:rsidP="00F35289">
      <w:pPr>
        <w:rPr>
          <w:b/>
        </w:rPr>
      </w:pPr>
      <w:r w:rsidRPr="00447574">
        <w:rPr>
          <w:b/>
        </w:rPr>
        <w:t>Document 2</w:t>
      </w:r>
    </w:p>
    <w:p w:rsidR="00F35289" w:rsidRDefault="00F35289" w:rsidP="00F35289">
      <w:pPr>
        <w:jc w:val="center"/>
      </w:pPr>
      <w:r w:rsidRPr="00447574">
        <w:rPr>
          <w:noProof/>
          <w:lang w:eastAsia="fr-FR"/>
        </w:rPr>
        <w:drawing>
          <wp:inline distT="0" distB="0" distL="0" distR="0">
            <wp:extent cx="4135983" cy="2626157"/>
            <wp:effectExtent l="19050" t="0" r="16917" b="2743"/>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35289" w:rsidRDefault="00F35289" w:rsidP="00F35289"/>
    <w:p w:rsidR="00F35289" w:rsidRPr="00F35289" w:rsidRDefault="00F35289" w:rsidP="00F35289">
      <w:pPr>
        <w:jc w:val="right"/>
        <w:rPr>
          <w:b/>
          <w:i/>
        </w:rPr>
      </w:pPr>
      <w:r w:rsidRPr="00F35289">
        <w:rPr>
          <w:b/>
          <w:i/>
        </w:rPr>
        <w:t xml:space="preserve">Source : </w:t>
      </w:r>
      <w:hyperlink r:id="rId9" w:history="1">
        <w:r w:rsidRPr="00F35289">
          <w:rPr>
            <w:rStyle w:val="Lienhypertexte"/>
            <w:b/>
            <w:i/>
          </w:rPr>
          <w:t>FMI, WEO</w:t>
        </w:r>
      </w:hyperlink>
      <w:r w:rsidRPr="00F35289">
        <w:rPr>
          <w:b/>
          <w:i/>
        </w:rPr>
        <w:t>, avril 2019</w:t>
      </w:r>
    </w:p>
    <w:p w:rsidR="00F35289" w:rsidRPr="00661A66" w:rsidRDefault="00F35289" w:rsidP="00F35289">
      <w:pPr>
        <w:rPr>
          <w:szCs w:val="20"/>
        </w:rPr>
      </w:pPr>
      <w:r w:rsidRPr="00661A66">
        <w:rPr>
          <w:szCs w:val="20"/>
        </w:rPr>
        <w:t>Note : estimations depuis 2017</w:t>
      </w:r>
    </w:p>
    <w:p w:rsidR="00E61E55" w:rsidRDefault="00E61E55" w:rsidP="00E61E55">
      <w:pPr>
        <w:jc w:val="left"/>
        <w:rPr>
          <w:rFonts w:ascii="Calibri Light" w:hAnsi="Calibri Light"/>
          <w:b/>
          <w:color w:val="000000" w:themeColor="text1"/>
          <w:sz w:val="32"/>
          <w:szCs w:val="32"/>
        </w:rPr>
      </w:pPr>
    </w:p>
    <w:sectPr w:rsidR="00E61E55" w:rsidSect="00CF1CBD">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7B4" w:rsidRDefault="009A27B4" w:rsidP="00F35289">
      <w:pPr>
        <w:spacing w:after="0" w:line="240" w:lineRule="auto"/>
      </w:pPr>
      <w:r>
        <w:separator/>
      </w:r>
    </w:p>
  </w:endnote>
  <w:endnote w:type="continuationSeparator" w:id="0">
    <w:p w:rsidR="009A27B4" w:rsidRDefault="009A27B4" w:rsidP="00F352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8A" w:rsidRDefault="00833B2F" w:rsidP="00EB5D8A">
    <w:pPr>
      <w:pStyle w:val="Pieddepage"/>
      <w:jc w:val="right"/>
    </w:pPr>
    <w:r>
      <w:rPr>
        <w:rFonts w:ascii="Times New Roman" w:hAnsi="Times New Roman"/>
      </w:rPr>
      <w:t xml:space="preserve">Page </w:t>
    </w:r>
    <w:r w:rsidR="00EF7F5E">
      <w:rPr>
        <w:rFonts w:ascii="Times New Roman" w:hAnsi="Times New Roman"/>
      </w:rPr>
      <w:fldChar w:fldCharType="begin"/>
    </w:r>
    <w:r>
      <w:rPr>
        <w:rFonts w:ascii="Times New Roman" w:hAnsi="Times New Roman"/>
      </w:rPr>
      <w:instrText xml:space="preserve"> PAGE </w:instrText>
    </w:r>
    <w:r w:rsidR="00EF7F5E">
      <w:rPr>
        <w:rFonts w:ascii="Times New Roman" w:hAnsi="Times New Roman"/>
      </w:rPr>
      <w:fldChar w:fldCharType="separate"/>
    </w:r>
    <w:r w:rsidR="000211E6">
      <w:rPr>
        <w:rFonts w:ascii="Times New Roman" w:hAnsi="Times New Roman"/>
        <w:noProof/>
      </w:rPr>
      <w:t>1</w:t>
    </w:r>
    <w:r w:rsidR="00EF7F5E">
      <w:rPr>
        <w:rFonts w:ascii="Times New Roman" w:hAnsi="Times New Roman"/>
      </w:rPr>
      <w:fldChar w:fldCharType="end"/>
    </w:r>
    <w:r>
      <w:rPr>
        <w:rFonts w:ascii="Times New Roman" w:hAnsi="Times New Roman"/>
      </w:rPr>
      <w:t xml:space="preserve"> sur </w:t>
    </w:r>
    <w:r w:rsidR="00EF7F5E">
      <w:rPr>
        <w:rFonts w:ascii="Times New Roman" w:hAnsi="Times New Roman"/>
      </w:rPr>
      <w:fldChar w:fldCharType="begin"/>
    </w:r>
    <w:r>
      <w:rPr>
        <w:rFonts w:ascii="Times New Roman" w:hAnsi="Times New Roman"/>
      </w:rPr>
      <w:instrText xml:space="preserve"> NUMPAGES </w:instrText>
    </w:r>
    <w:r w:rsidR="00EF7F5E">
      <w:rPr>
        <w:rFonts w:ascii="Times New Roman" w:hAnsi="Times New Roman"/>
      </w:rPr>
      <w:fldChar w:fldCharType="separate"/>
    </w:r>
    <w:r w:rsidR="000211E6">
      <w:rPr>
        <w:rFonts w:ascii="Times New Roman" w:hAnsi="Times New Roman"/>
        <w:noProof/>
      </w:rPr>
      <w:t>5</w:t>
    </w:r>
    <w:r w:rsidR="00EF7F5E">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7B4" w:rsidRDefault="009A27B4" w:rsidP="00F35289">
      <w:pPr>
        <w:spacing w:after="0" w:line="240" w:lineRule="auto"/>
      </w:pPr>
      <w:r>
        <w:separator/>
      </w:r>
    </w:p>
  </w:footnote>
  <w:footnote w:type="continuationSeparator" w:id="0">
    <w:p w:rsidR="009A27B4" w:rsidRDefault="009A27B4" w:rsidP="00F352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8A" w:rsidRPr="00F85513" w:rsidRDefault="00F35289" w:rsidP="00EB5D8A">
    <w:pPr>
      <w:pStyle w:val="En-tte"/>
      <w:pBdr>
        <w:bottom w:val="single" w:sz="12" w:space="1" w:color="auto"/>
      </w:pBdr>
      <w:jc w:val="right"/>
      <w:rPr>
        <w:rFonts w:ascii="Times New Roman" w:hAnsi="Times New Roman"/>
        <w:sz w:val="16"/>
        <w:szCs w:val="16"/>
      </w:rPr>
    </w:pPr>
    <w:r>
      <w:rPr>
        <w:rFonts w:ascii="Times New Roman" w:hAnsi="Times New Roman"/>
        <w:sz w:val="16"/>
        <w:szCs w:val="16"/>
      </w:rPr>
      <w:t>Qu’est-ce que la monnaie et comment est-elle créée ?</w:t>
    </w:r>
    <w:r w:rsidR="00833B2F" w:rsidRPr="00F85513">
      <w:rPr>
        <w:rFonts w:ascii="Times New Roman" w:hAnsi="Times New Roman"/>
        <w:sz w:val="16"/>
        <w:szCs w:val="16"/>
      </w:rPr>
      <w:t xml:space="preserve"> – </w:t>
    </w:r>
    <w:r>
      <w:rPr>
        <w:rFonts w:ascii="Times New Roman" w:hAnsi="Times New Roman"/>
        <w:sz w:val="16"/>
        <w:szCs w:val="16"/>
      </w:rPr>
      <w:t>Les fonctions de la monnaie</w:t>
    </w:r>
    <w:r w:rsidR="00833B2F" w:rsidRPr="00F85513">
      <w:rPr>
        <w:rFonts w:ascii="Times New Roman" w:hAnsi="Times New Roman"/>
        <w:sz w:val="16"/>
        <w:szCs w:val="16"/>
      </w:rPr>
      <w:t xml:space="preserve"> (</w:t>
    </w:r>
    <w:r w:rsidR="00833B2F">
      <w:rPr>
        <w:rFonts w:ascii="Times New Roman" w:hAnsi="Times New Roman"/>
        <w:sz w:val="16"/>
        <w:szCs w:val="16"/>
      </w:rPr>
      <w:t>1</w:t>
    </w:r>
    <w:r w:rsidR="00833B2F" w:rsidRPr="00F85513">
      <w:rPr>
        <w:rFonts w:ascii="Times New Roman" w:hAnsi="Times New Roman"/>
        <w:sz w:val="16"/>
        <w:szCs w:val="16"/>
      </w:rPr>
      <w:t>/</w:t>
    </w:r>
    <w:r>
      <w:rPr>
        <w:rFonts w:ascii="Times New Roman" w:hAnsi="Times New Roman"/>
        <w:sz w:val="16"/>
        <w:szCs w:val="16"/>
      </w:rPr>
      <w:t>5</w:t>
    </w:r>
    <w:r w:rsidR="00833B2F" w:rsidRPr="00F85513">
      <w:rPr>
        <w:rFonts w:ascii="Times New Roman" w:hAnsi="Times New Roman"/>
        <w:sz w:val="16"/>
        <w:szCs w:val="16"/>
      </w:rPr>
      <w:t xml:space="preserve">) - Page </w:t>
    </w:r>
    <w:r w:rsidR="00EF7F5E" w:rsidRPr="00F85513">
      <w:rPr>
        <w:rFonts w:ascii="Times New Roman" w:hAnsi="Times New Roman"/>
        <w:sz w:val="16"/>
        <w:szCs w:val="16"/>
      </w:rPr>
      <w:fldChar w:fldCharType="begin"/>
    </w:r>
    <w:r w:rsidR="00833B2F" w:rsidRPr="00F85513">
      <w:rPr>
        <w:rFonts w:ascii="Times New Roman" w:hAnsi="Times New Roman"/>
        <w:sz w:val="16"/>
        <w:szCs w:val="16"/>
      </w:rPr>
      <w:instrText xml:space="preserve"> PAGE </w:instrText>
    </w:r>
    <w:r w:rsidR="00EF7F5E" w:rsidRPr="00F85513">
      <w:rPr>
        <w:rFonts w:ascii="Times New Roman" w:hAnsi="Times New Roman"/>
        <w:sz w:val="16"/>
        <w:szCs w:val="16"/>
      </w:rPr>
      <w:fldChar w:fldCharType="separate"/>
    </w:r>
    <w:r w:rsidR="000211E6">
      <w:rPr>
        <w:rFonts w:ascii="Times New Roman" w:hAnsi="Times New Roman"/>
        <w:noProof/>
        <w:sz w:val="16"/>
        <w:szCs w:val="16"/>
      </w:rPr>
      <w:t>1</w:t>
    </w:r>
    <w:r w:rsidR="00EF7F5E" w:rsidRPr="00F85513">
      <w:rPr>
        <w:rFonts w:ascii="Times New Roman" w:hAnsi="Times New Roman"/>
        <w:sz w:val="16"/>
        <w:szCs w:val="16"/>
      </w:rPr>
      <w:fldChar w:fldCharType="end"/>
    </w:r>
    <w:r w:rsidR="00833B2F" w:rsidRPr="00F85513">
      <w:rPr>
        <w:rFonts w:ascii="Times New Roman" w:hAnsi="Times New Roman"/>
        <w:sz w:val="16"/>
        <w:szCs w:val="16"/>
      </w:rPr>
      <w:t xml:space="preserve"> sur </w:t>
    </w:r>
    <w:r w:rsidR="00EF7F5E" w:rsidRPr="00F85513">
      <w:rPr>
        <w:rFonts w:ascii="Times New Roman" w:hAnsi="Times New Roman"/>
        <w:sz w:val="16"/>
        <w:szCs w:val="16"/>
      </w:rPr>
      <w:fldChar w:fldCharType="begin"/>
    </w:r>
    <w:r w:rsidR="00833B2F" w:rsidRPr="00F85513">
      <w:rPr>
        <w:rFonts w:ascii="Times New Roman" w:hAnsi="Times New Roman"/>
        <w:sz w:val="16"/>
        <w:szCs w:val="16"/>
      </w:rPr>
      <w:instrText xml:space="preserve"> NUMPAGES </w:instrText>
    </w:r>
    <w:r w:rsidR="00EF7F5E" w:rsidRPr="00F85513">
      <w:rPr>
        <w:rFonts w:ascii="Times New Roman" w:hAnsi="Times New Roman"/>
        <w:sz w:val="16"/>
        <w:szCs w:val="16"/>
      </w:rPr>
      <w:fldChar w:fldCharType="separate"/>
    </w:r>
    <w:r w:rsidR="000211E6">
      <w:rPr>
        <w:rFonts w:ascii="Times New Roman" w:hAnsi="Times New Roman"/>
        <w:noProof/>
        <w:sz w:val="16"/>
        <w:szCs w:val="16"/>
      </w:rPr>
      <w:t>5</w:t>
    </w:r>
    <w:r w:rsidR="00EF7F5E" w:rsidRPr="00F85513">
      <w:rPr>
        <w:rFonts w:ascii="Times New Roman" w:hAnsi="Times New Roman"/>
        <w:sz w:val="16"/>
        <w:szCs w:val="16"/>
      </w:rPr>
      <w:fldChar w:fldCharType="end"/>
    </w:r>
  </w:p>
  <w:p w:rsidR="00AA79FF" w:rsidRDefault="009A27B4" w:rsidP="00EB5D8A">
    <w:pPr>
      <w:pStyle w:val="En-tt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D2C47"/>
    <w:multiLevelType w:val="hybridMultilevel"/>
    <w:tmpl w:val="B3680E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4032BC"/>
    <w:multiLevelType w:val="hybridMultilevel"/>
    <w:tmpl w:val="482C43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2B2595A"/>
    <w:multiLevelType w:val="hybridMultilevel"/>
    <w:tmpl w:val="3E62BA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46F7BA3"/>
    <w:multiLevelType w:val="hybridMultilevel"/>
    <w:tmpl w:val="EA44FB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BC720CC"/>
    <w:multiLevelType w:val="hybridMultilevel"/>
    <w:tmpl w:val="BE180E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D567E56"/>
    <w:multiLevelType w:val="hybridMultilevel"/>
    <w:tmpl w:val="0156AB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2734E6C"/>
    <w:multiLevelType w:val="hybridMultilevel"/>
    <w:tmpl w:val="A066D0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2D45EE9"/>
    <w:multiLevelType w:val="hybridMultilevel"/>
    <w:tmpl w:val="C082BC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2011DDF"/>
    <w:multiLevelType w:val="hybridMultilevel"/>
    <w:tmpl w:val="57001B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F585ABE"/>
    <w:multiLevelType w:val="hybridMultilevel"/>
    <w:tmpl w:val="F704FC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E2647EC"/>
    <w:multiLevelType w:val="hybridMultilevel"/>
    <w:tmpl w:val="475030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7"/>
  </w:num>
  <w:num w:numId="5">
    <w:abstractNumId w:val="10"/>
  </w:num>
  <w:num w:numId="6">
    <w:abstractNumId w:val="5"/>
  </w:num>
  <w:num w:numId="7">
    <w:abstractNumId w:val="4"/>
  </w:num>
  <w:num w:numId="8">
    <w:abstractNumId w:val="9"/>
  </w:num>
  <w:num w:numId="9">
    <w:abstractNumId w:val="8"/>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footnotePr>
    <w:footnote w:id="-1"/>
    <w:footnote w:id="0"/>
  </w:footnotePr>
  <w:endnotePr>
    <w:endnote w:id="-1"/>
    <w:endnote w:id="0"/>
  </w:endnotePr>
  <w:compat/>
  <w:rsids>
    <w:rsidRoot w:val="00E61E55"/>
    <w:rsid w:val="000211E6"/>
    <w:rsid w:val="001023E9"/>
    <w:rsid w:val="001F5F95"/>
    <w:rsid w:val="00293153"/>
    <w:rsid w:val="004204C5"/>
    <w:rsid w:val="00494E60"/>
    <w:rsid w:val="004C7D77"/>
    <w:rsid w:val="00630632"/>
    <w:rsid w:val="00833B2F"/>
    <w:rsid w:val="0090468F"/>
    <w:rsid w:val="009A27B4"/>
    <w:rsid w:val="00DA2B09"/>
    <w:rsid w:val="00E1672B"/>
    <w:rsid w:val="00E61E55"/>
    <w:rsid w:val="00EF7F5E"/>
    <w:rsid w:val="00F3528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E55"/>
    <w:pPr>
      <w:jc w:val="both"/>
    </w:pPr>
    <w:rPr>
      <w:rFonts w:ascii="Calibri" w:eastAsia="Calibri" w:hAnsi="Calibri"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E61E55"/>
    <w:pPr>
      <w:spacing w:after="0" w:line="240" w:lineRule="auto"/>
    </w:pPr>
    <w:rPr>
      <w:rFonts w:ascii="Calibri Light" w:eastAsia="Calibri" w:hAnsi="Calibri Light" w:cs="Times New Roman"/>
      <w:b/>
      <w:noProof/>
      <w:color w:val="000000" w:themeColor="text1"/>
      <w:sz w:val="24"/>
      <w:szCs w:val="24"/>
      <w:lang w:eastAsia="fr-FR"/>
    </w:rPr>
  </w:style>
  <w:style w:type="table" w:styleId="Grilledutableau">
    <w:name w:val="Table Grid"/>
    <w:basedOn w:val="TableauNormal"/>
    <w:uiPriority w:val="59"/>
    <w:rsid w:val="00E61E5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E61E55"/>
    <w:pPr>
      <w:ind w:left="720"/>
      <w:contextualSpacing/>
    </w:pPr>
    <w:rPr>
      <w:rFonts w:ascii="Times New Roman" w:hAnsi="Times New Roman"/>
    </w:rPr>
  </w:style>
  <w:style w:type="character" w:styleId="Lienhypertexte">
    <w:name w:val="Hyperlink"/>
    <w:basedOn w:val="Policepardfaut"/>
    <w:uiPriority w:val="99"/>
    <w:unhideWhenUsed/>
    <w:rsid w:val="00E61E55"/>
    <w:rPr>
      <w:color w:val="0000FF" w:themeColor="hyperlink"/>
      <w:u w:val="single"/>
    </w:rPr>
  </w:style>
  <w:style w:type="paragraph" w:styleId="En-tte">
    <w:name w:val="header"/>
    <w:basedOn w:val="Normal"/>
    <w:link w:val="En-tteCar"/>
    <w:uiPriority w:val="99"/>
    <w:unhideWhenUsed/>
    <w:rsid w:val="00E61E55"/>
    <w:pPr>
      <w:tabs>
        <w:tab w:val="center" w:pos="4536"/>
        <w:tab w:val="right" w:pos="9072"/>
      </w:tabs>
      <w:spacing w:after="0" w:line="240" w:lineRule="auto"/>
    </w:pPr>
  </w:style>
  <w:style w:type="character" w:customStyle="1" w:styleId="En-tteCar">
    <w:name w:val="En-tête Car"/>
    <w:basedOn w:val="Policepardfaut"/>
    <w:link w:val="En-tte"/>
    <w:uiPriority w:val="99"/>
    <w:rsid w:val="00E61E55"/>
    <w:rPr>
      <w:rFonts w:ascii="Calibri" w:eastAsia="Calibri" w:hAnsi="Calibri" w:cs="Times New Roman"/>
      <w:sz w:val="20"/>
    </w:rPr>
  </w:style>
  <w:style w:type="paragraph" w:styleId="Pieddepage">
    <w:name w:val="footer"/>
    <w:basedOn w:val="Normal"/>
    <w:link w:val="PieddepageCar"/>
    <w:uiPriority w:val="99"/>
    <w:unhideWhenUsed/>
    <w:rsid w:val="00E61E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1E55"/>
    <w:rPr>
      <w:rFonts w:ascii="Calibri" w:eastAsia="Calibri" w:hAnsi="Calibri" w:cs="Times New Roman"/>
      <w:sz w:val="20"/>
    </w:rPr>
  </w:style>
  <w:style w:type="paragraph" w:styleId="Textedebulles">
    <w:name w:val="Balloon Text"/>
    <w:basedOn w:val="Normal"/>
    <w:link w:val="TextedebullesCar"/>
    <w:uiPriority w:val="99"/>
    <w:semiHidden/>
    <w:unhideWhenUsed/>
    <w:rsid w:val="00E61E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1E5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hallenges.fr/economie/venezuela-les-chiffres-de-la-crise-economique_63892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mf.org/external/pubs/ft/weo/2019/01/weodata/weorept.aspx?pr.x=80&amp;pr.y=8&amp;sy=1980&amp;ey=2024&amp;scsm=1&amp;ssd=1&amp;sort=country&amp;ds=.&amp;br=1&amp;c=299&amp;s=PCPIPCH&amp;grp=0&amp;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Bruno\Site_Aca\prgs_2019\cours_inverse\premiere\chapitre_05\venezuela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000"/>
            </a:pPr>
            <a:r>
              <a:rPr lang="en-US" sz="1000"/>
              <a:t>Taux d'inflation au Venezuela (en %)</a:t>
            </a:r>
          </a:p>
        </c:rich>
      </c:tx>
      <c:layout>
        <c:manualLayout>
          <c:xMode val="edge"/>
          <c:yMode val="edge"/>
          <c:x val="0.25862678835962405"/>
          <c:y val="0"/>
        </c:manualLayout>
      </c:layout>
    </c:title>
    <c:plotArea>
      <c:layout>
        <c:manualLayout>
          <c:layoutTarget val="inner"/>
          <c:xMode val="edge"/>
          <c:yMode val="edge"/>
          <c:x val="0.20990705232589238"/>
          <c:y val="9.6574576462869724E-2"/>
          <c:w val="0.79009294767410865"/>
          <c:h val="0.78253114648214916"/>
        </c:manualLayout>
      </c:layout>
      <c:lineChart>
        <c:grouping val="standard"/>
        <c:ser>
          <c:idx val="0"/>
          <c:order val="0"/>
          <c:tx>
            <c:v>Taux d'inflation annuel en %</c:v>
          </c:tx>
          <c:marker>
            <c:symbol val="diamond"/>
            <c:size val="5"/>
          </c:marker>
          <c:cat>
            <c:numRef>
              <c:f>Feuil2!$A$36:$A$45</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Feuil2!$B$36:$B$45</c:f>
              <c:numCache>
                <c:formatCode>_-* #,##0\ _€_-;\-* #,##0\ _€_-;_-* "-"??\ _€_-;_-@_-</c:formatCode>
                <c:ptCount val="10"/>
                <c:pt idx="0">
                  <c:v>29.061999999999987</c:v>
                </c:pt>
                <c:pt idx="1">
                  <c:v>27.150000000000023</c:v>
                </c:pt>
                <c:pt idx="2">
                  <c:v>21.110000000000024</c:v>
                </c:pt>
                <c:pt idx="3">
                  <c:v>38.525000000000013</c:v>
                </c:pt>
                <c:pt idx="4">
                  <c:v>57.310999999999993</c:v>
                </c:pt>
                <c:pt idx="5">
                  <c:v>111.798</c:v>
                </c:pt>
                <c:pt idx="6">
                  <c:v>254.39100000000019</c:v>
                </c:pt>
                <c:pt idx="7">
                  <c:v>493.601</c:v>
                </c:pt>
                <c:pt idx="8">
                  <c:v>929789.5</c:v>
                </c:pt>
                <c:pt idx="9">
                  <c:v>10000000</c:v>
                </c:pt>
              </c:numCache>
            </c:numRef>
          </c:val>
        </c:ser>
        <c:marker val="1"/>
        <c:axId val="90326144"/>
        <c:axId val="92572672"/>
      </c:lineChart>
      <c:catAx>
        <c:axId val="90326144"/>
        <c:scaling>
          <c:orientation val="minMax"/>
        </c:scaling>
        <c:axPos val="b"/>
        <c:numFmt formatCode="General" sourceLinked="1"/>
        <c:tickLblPos val="nextTo"/>
        <c:txPr>
          <a:bodyPr rot="-5400000" vert="horz"/>
          <a:lstStyle/>
          <a:p>
            <a:pPr>
              <a:defRPr/>
            </a:pPr>
            <a:endParaRPr lang="fr-FR"/>
          </a:p>
        </c:txPr>
        <c:crossAx val="92572672"/>
        <c:crosses val="autoZero"/>
        <c:auto val="1"/>
        <c:lblAlgn val="ctr"/>
        <c:lblOffset val="100"/>
      </c:catAx>
      <c:valAx>
        <c:axId val="92572672"/>
        <c:scaling>
          <c:orientation val="minMax"/>
          <c:max val="10000000"/>
          <c:min val="0"/>
        </c:scaling>
        <c:axPos val="l"/>
        <c:majorGridlines/>
        <c:numFmt formatCode="_-* #,##0\ _€_-;\-* #,##0\ _€_-;_-* &quot;-&quot;??\ _€_-;_-@_-" sourceLinked="1"/>
        <c:tickLblPos val="nextTo"/>
        <c:txPr>
          <a:bodyPr/>
          <a:lstStyle/>
          <a:p>
            <a:pPr>
              <a:defRPr sz="600" b="1"/>
            </a:pPr>
            <a:endParaRPr lang="fr-FR"/>
          </a:p>
        </c:txPr>
        <c:crossAx val="90326144"/>
        <c:crosses val="autoZero"/>
        <c:crossBetween val="between"/>
      </c:valAx>
      <c:dTable>
        <c:showHorzBorder val="1"/>
        <c:showVertBorder val="1"/>
        <c:showOutline val="1"/>
        <c:txPr>
          <a:bodyPr/>
          <a:lstStyle/>
          <a:p>
            <a:pPr rtl="0">
              <a:defRPr sz="400" b="1"/>
            </a:pPr>
            <a:endParaRPr lang="fr-FR"/>
          </a:p>
        </c:txPr>
      </c:dTable>
    </c:plotArea>
    <c:plotVisOnly val="1"/>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1258</Words>
  <Characters>6924</Characters>
  <Application>Microsoft Office Word</Application>
  <DocSecurity>0</DocSecurity>
  <Lines>57</Lines>
  <Paragraphs>16</Paragraphs>
  <ScaleCrop>false</ScaleCrop>
  <Company/>
  <LinksUpToDate>false</LinksUpToDate>
  <CharactersWithSpaces>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4</cp:revision>
  <cp:lastPrinted>2019-06-30T07:26:00Z</cp:lastPrinted>
  <dcterms:created xsi:type="dcterms:W3CDTF">2019-06-29T14:05:00Z</dcterms:created>
  <dcterms:modified xsi:type="dcterms:W3CDTF">2019-06-30T07:26:00Z</dcterms:modified>
</cp:coreProperties>
</file>