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F71C1C" w:rsidRPr="00287998" w:rsidTr="00CC4945">
        <w:tc>
          <w:tcPr>
            <w:tcW w:w="10606" w:type="dxa"/>
            <w:shd w:val="clear" w:color="auto" w:fill="auto"/>
          </w:tcPr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sont les principales défaillances du marché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Le marché est défaillant en présence </w:t>
            </w:r>
            <w:r w:rsidR="00F32BD8">
              <w:rPr>
                <w:sz w:val="36"/>
                <w:szCs w:val="36"/>
                <w:lang w:eastAsia="en-US"/>
              </w:rPr>
              <w:t>d’asymétries d’information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 sur la vidéo</w:t>
            </w:r>
          </w:p>
        </w:tc>
      </w:tr>
    </w:tbl>
    <w:p w:rsidR="00F71C1C" w:rsidRPr="00FE33D1" w:rsidRDefault="00F71C1C" w:rsidP="00F71C1C">
      <w:pPr>
        <w:rPr>
          <w:rFonts w:ascii="Calibri Light" w:hAnsi="Calibri Light"/>
          <w:b/>
          <w:color w:val="000000"/>
          <w:sz w:val="28"/>
          <w:szCs w:val="28"/>
        </w:rPr>
      </w:pP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Qu’est-ce qu’une asymétrie d’information ?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2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En quoi consiste le phénomène de sélection adverse ?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3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 xml:space="preserve">Expliquez pourquoi, d’après G. </w:t>
      </w:r>
      <w:proofErr w:type="spellStart"/>
      <w:r w:rsidRPr="00F32BD8">
        <w:rPr>
          <w:rFonts w:ascii="Calibri Light" w:hAnsi="Calibri Light" w:cs="Calibri Light"/>
          <w:sz w:val="32"/>
          <w:szCs w:val="32"/>
        </w:rPr>
        <w:t>Akerlof</w:t>
      </w:r>
      <w:proofErr w:type="spellEnd"/>
      <w:r w:rsidRPr="00F32BD8">
        <w:rPr>
          <w:rFonts w:ascii="Calibri Light" w:hAnsi="Calibri Light" w:cs="Calibri Light"/>
          <w:sz w:val="32"/>
          <w:szCs w:val="32"/>
        </w:rPr>
        <w:t>, les asymétries d’information sur le marché des véhicules d’occasion entraînent la disparition de ce marché (vous pouvez vous appuyer sur un schéma pour répondre).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4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Comment est-il possible de résoudre le problème de sélection adverse ? Justifiez votre réponse.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5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En quoi consiste l’aléa moral ?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En quoi peut-on parler d’aléa moral dans le modèle du « tire-au-flanc » et dans le cas des professions d’expert ?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7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Quelles sont les conséquences de l’aléa moral sur le marché ?</w:t>
      </w:r>
    </w:p>
    <w:p w:rsidR="00F32BD8" w:rsidRPr="00F32BD8" w:rsidRDefault="00F32BD8" w:rsidP="00F32BD8">
      <w:pPr>
        <w:spacing w:after="0" w:line="240" w:lineRule="auto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8</w:t>
      </w:r>
      <w:bookmarkStart w:id="0" w:name="_GoBack"/>
      <w:bookmarkEnd w:id="0"/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F32BD8">
        <w:rPr>
          <w:rFonts w:ascii="Calibri Light" w:hAnsi="Calibri Light" w:cs="Calibri Light"/>
          <w:sz w:val="32"/>
          <w:szCs w:val="32"/>
        </w:rPr>
        <w:t>Détaillez l’exemple de l’aléa moral dans le secteur de l’assurance.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57276" w:rsidRPr="0045298D" w:rsidRDefault="00557276">
      <w:pPr>
        <w:rPr>
          <w:rFonts w:ascii="Calibri Light" w:hAnsi="Calibri Light" w:cs="Calibri Light"/>
          <w:sz w:val="32"/>
          <w:szCs w:val="32"/>
        </w:rPr>
      </w:pPr>
    </w:p>
    <w:sectPr w:rsidR="00557276" w:rsidRPr="0045298D" w:rsidSect="000862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45030"/>
    <w:multiLevelType w:val="hybridMultilevel"/>
    <w:tmpl w:val="6082BD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F4972"/>
    <w:multiLevelType w:val="hybridMultilevel"/>
    <w:tmpl w:val="F45046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E1654"/>
    <w:multiLevelType w:val="hybridMultilevel"/>
    <w:tmpl w:val="2258D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1C"/>
    <w:rsid w:val="00086210"/>
    <w:rsid w:val="0045298D"/>
    <w:rsid w:val="00557276"/>
    <w:rsid w:val="00933C96"/>
    <w:rsid w:val="00F32BD8"/>
    <w:rsid w:val="00F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9C78E8"/>
  <w15:chartTrackingRefBased/>
  <w15:docId w15:val="{68FAF0C3-6CFA-5D42-9A68-96688AB6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C1C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F71C1C"/>
    <w:rPr>
      <w:rFonts w:ascii="Calibri Light" w:eastAsia="Calibri" w:hAnsi="Calibri Light" w:cs="Times New Roman"/>
      <w:b/>
      <w:noProof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F71C1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788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Olivier</dc:creator>
  <cp:keywords/>
  <dc:description/>
  <cp:lastModifiedBy>Nicolas Olivier</cp:lastModifiedBy>
  <cp:revision>3</cp:revision>
  <dcterms:created xsi:type="dcterms:W3CDTF">2020-04-20T11:29:00Z</dcterms:created>
  <dcterms:modified xsi:type="dcterms:W3CDTF">2020-04-20T11:36:00Z</dcterms:modified>
</cp:coreProperties>
</file>