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0486" w:rsidRDefault="00061A2B">
      <w:pPr>
        <w:pBdr>
          <w:top w:val="single" w:sz="4" w:space="1" w:color="00000A"/>
          <w:left w:val="single" w:sz="4" w:space="4" w:color="00000A"/>
          <w:bottom w:val="single" w:sz="4" w:space="1" w:color="00000A"/>
          <w:right w:val="single" w:sz="4" w:space="4" w:color="00000A"/>
        </w:pBdr>
        <w:jc w:val="center"/>
        <w:rPr>
          <w:rFonts w:ascii="Times New Roman" w:hAnsi="Times New Roman"/>
          <w:b/>
          <w:sz w:val="32"/>
          <w:szCs w:val="32"/>
        </w:rPr>
      </w:pPr>
      <w:r>
        <w:rPr>
          <w:rFonts w:ascii="Times New Roman" w:hAnsi="Times New Roman"/>
          <w:b/>
          <w:sz w:val="32"/>
          <w:szCs w:val="32"/>
        </w:rPr>
        <w:t xml:space="preserve"> Chapitre 7 : Comment les pouvoirs publics peuvent-ils contribuer à la justice sociale ?</w:t>
      </w:r>
    </w:p>
    <w:p w:rsidR="00530486" w:rsidRDefault="00061A2B">
      <w:pPr>
        <w:pBdr>
          <w:top w:val="single" w:sz="4" w:space="1" w:color="00000A"/>
          <w:left w:val="single" w:sz="4" w:space="4" w:color="00000A"/>
          <w:bottom w:val="single" w:sz="4" w:space="1" w:color="00000A"/>
          <w:right w:val="single" w:sz="4" w:space="4" w:color="00000A"/>
        </w:pBdr>
        <w:jc w:val="center"/>
        <w:rPr>
          <w:rFonts w:ascii="Times New Roman" w:hAnsi="Times New Roman"/>
          <w:b/>
          <w:i/>
          <w:sz w:val="32"/>
          <w:szCs w:val="32"/>
        </w:rPr>
      </w:pPr>
      <w:r>
        <w:rPr>
          <w:rFonts w:ascii="Times New Roman" w:hAnsi="Times New Roman"/>
          <w:b/>
          <w:i/>
          <w:sz w:val="32"/>
          <w:szCs w:val="32"/>
        </w:rPr>
        <w:t xml:space="preserve">Partie 2 : </w:t>
      </w:r>
      <w:r>
        <w:rPr>
          <w:rFonts w:ascii="Times New Roman" w:hAnsi="Times New Roman"/>
          <w:b/>
          <w:i/>
          <w:sz w:val="32"/>
          <w:szCs w:val="32"/>
        </w:rPr>
        <w:tab/>
        <w:t xml:space="preserve"> Comment l’intervention de l'Etat cherche à renforcer la justice sociale ?</w:t>
      </w:r>
    </w:p>
    <w:p w:rsidR="00530486" w:rsidRDefault="00530486">
      <w:pPr>
        <w:pStyle w:val="Sansinterligne"/>
      </w:pPr>
    </w:p>
    <w:p w:rsidR="00530486" w:rsidRDefault="00061A2B">
      <w:pPr>
        <w:pStyle w:val="Sansinterligne"/>
        <w:pBdr>
          <w:bottom w:val="single" w:sz="4" w:space="1" w:color="00000A"/>
        </w:pBdr>
        <w:jc w:val="center"/>
        <w:rPr>
          <w:b/>
          <w:sz w:val="28"/>
        </w:rPr>
      </w:pPr>
      <w:r>
        <w:rPr>
          <w:b/>
          <w:sz w:val="28"/>
        </w:rPr>
        <w:t>Vérification des connaissances</w:t>
      </w:r>
    </w:p>
    <w:p w:rsidR="00530486" w:rsidRDefault="00530486">
      <w:pPr>
        <w:rPr>
          <w:b/>
        </w:rPr>
      </w:pPr>
    </w:p>
    <w:p w:rsidR="00530486" w:rsidRDefault="00061A2B">
      <w:pPr>
        <w:rPr>
          <w:b/>
        </w:rPr>
      </w:pPr>
      <w:r>
        <w:rPr>
          <w:b/>
          <w:u w:val="single"/>
        </w:rPr>
        <w:t>Exercice 1</w:t>
      </w:r>
      <w:r>
        <w:rPr>
          <w:b/>
        </w:rPr>
        <w:t xml:space="preserve"> : Vrai ou faux ?</w:t>
      </w:r>
    </w:p>
    <w:tbl>
      <w:tblPr>
        <w:tblW w:w="10450" w:type="dxa"/>
        <w:tblCellMar>
          <w:left w:w="113" w:type="dxa"/>
        </w:tblCellMar>
        <w:tblLook w:val="04A0"/>
      </w:tblPr>
      <w:tblGrid>
        <w:gridCol w:w="9631"/>
        <w:gridCol w:w="426"/>
        <w:gridCol w:w="393"/>
      </w:tblGrid>
      <w:tr w:rsidR="00530486">
        <w:tc>
          <w:tcPr>
            <w:tcW w:w="9631" w:type="dxa"/>
            <w:shd w:val="clear" w:color="auto" w:fill="FFFFFF"/>
          </w:tcPr>
          <w:p w:rsidR="00530486" w:rsidRDefault="00530486"/>
        </w:tc>
        <w:tc>
          <w:tcPr>
            <w:tcW w:w="426" w:type="dxa"/>
            <w:shd w:val="clear" w:color="auto" w:fill="FFFFFF"/>
          </w:tcPr>
          <w:p w:rsidR="00530486" w:rsidRDefault="00061A2B">
            <w:r>
              <w:t>V</w:t>
            </w:r>
          </w:p>
        </w:tc>
        <w:tc>
          <w:tcPr>
            <w:tcW w:w="393" w:type="dxa"/>
            <w:shd w:val="clear" w:color="auto" w:fill="FFFFFF"/>
          </w:tcPr>
          <w:p w:rsidR="00530486" w:rsidRDefault="00061A2B">
            <w:r>
              <w:t>F</w:t>
            </w:r>
          </w:p>
        </w:tc>
      </w:tr>
      <w:tr w:rsidR="00530486">
        <w:trPr>
          <w:trHeight w:val="3447"/>
        </w:trPr>
        <w:tc>
          <w:tcPr>
            <w:tcW w:w="9631" w:type="dxa"/>
            <w:shd w:val="clear" w:color="auto" w:fill="FFFFFF"/>
          </w:tcPr>
          <w:p w:rsidR="00530486" w:rsidRDefault="00061A2B">
            <w:pPr>
              <w:pStyle w:val="Paragraphedeliste"/>
              <w:numPr>
                <w:ilvl w:val="0"/>
                <w:numId w:val="1"/>
              </w:numPr>
            </w:pPr>
            <w:r>
              <w:t xml:space="preserve">La redistribution, la protection sociale, la fiscalité, les services collectifs et la lutte contre les discriminations sont les moyens mobilisés par les pouvoirs publics </w:t>
            </w:r>
          </w:p>
          <w:p w:rsidR="00530486" w:rsidRDefault="00061A2B">
            <w:pPr>
              <w:pStyle w:val="Paragraphedeliste"/>
              <w:numPr>
                <w:ilvl w:val="0"/>
                <w:numId w:val="1"/>
              </w:numPr>
            </w:pPr>
            <w:r>
              <w:t>La protection sociale est un outil pour réduire les inégalités au sein de la redistri</w:t>
            </w:r>
            <w:r>
              <w:t>bution</w:t>
            </w:r>
          </w:p>
          <w:p w:rsidR="00530486" w:rsidRDefault="00061A2B">
            <w:pPr>
              <w:pStyle w:val="Paragraphedeliste"/>
              <w:numPr>
                <w:ilvl w:val="0"/>
                <w:numId w:val="1"/>
              </w:numPr>
            </w:pPr>
            <w:r>
              <w:t>La redistribution porte sur les revenus secondaires</w:t>
            </w:r>
          </w:p>
          <w:p w:rsidR="00530486" w:rsidRDefault="00061A2B">
            <w:pPr>
              <w:pStyle w:val="Paragraphedeliste"/>
              <w:numPr>
                <w:ilvl w:val="0"/>
                <w:numId w:val="1"/>
              </w:numPr>
            </w:pPr>
            <w:r>
              <w:t>La redistribution horizontale aboutit à une réduction des inégalités entre les plus riches et les plus pauvres</w:t>
            </w:r>
          </w:p>
          <w:p w:rsidR="00530486" w:rsidRDefault="00061A2B">
            <w:pPr>
              <w:pStyle w:val="Paragraphedeliste"/>
              <w:numPr>
                <w:ilvl w:val="0"/>
                <w:numId w:val="1"/>
              </w:numPr>
            </w:pPr>
            <w:r>
              <w:t>La protection sociale protège contre le risque vieillesse par exemple</w:t>
            </w:r>
          </w:p>
          <w:p w:rsidR="00530486" w:rsidRDefault="00061A2B">
            <w:pPr>
              <w:pStyle w:val="Paragraphedeliste"/>
              <w:numPr>
                <w:ilvl w:val="0"/>
                <w:numId w:val="1"/>
              </w:numPr>
            </w:pPr>
            <w:r>
              <w:t>La logique d’ass</w:t>
            </w:r>
            <w:r>
              <w:t>urance est héritée de Beveridge</w:t>
            </w:r>
          </w:p>
          <w:p w:rsidR="00530486" w:rsidRDefault="00061A2B">
            <w:pPr>
              <w:pStyle w:val="Paragraphedeliste"/>
              <w:numPr>
                <w:ilvl w:val="0"/>
                <w:numId w:val="1"/>
              </w:numPr>
            </w:pPr>
            <w:r>
              <w:t xml:space="preserve">La logique d’assistance vise à </w:t>
            </w:r>
            <w:proofErr w:type="spellStart"/>
            <w:r>
              <w:t>démarchandiser</w:t>
            </w:r>
            <w:proofErr w:type="spellEnd"/>
            <w:r>
              <w:t xml:space="preserve"> la protection des individus</w:t>
            </w:r>
          </w:p>
          <w:p w:rsidR="00530486" w:rsidRDefault="00061A2B">
            <w:pPr>
              <w:pStyle w:val="Paragraphedeliste"/>
              <w:numPr>
                <w:ilvl w:val="0"/>
                <w:numId w:val="1"/>
              </w:numPr>
            </w:pPr>
            <w:r>
              <w:t>La fiscalité progressive domine en France parmi l’ensemble des impôts</w:t>
            </w:r>
          </w:p>
          <w:p w:rsidR="00530486" w:rsidRDefault="00061A2B">
            <w:pPr>
              <w:pStyle w:val="Paragraphedeliste"/>
              <w:numPr>
                <w:ilvl w:val="0"/>
                <w:numId w:val="1"/>
              </w:numPr>
            </w:pPr>
            <w:r>
              <w:t>Les hôpitaux, écoles sont des services collectifs</w:t>
            </w:r>
          </w:p>
          <w:p w:rsidR="00530486" w:rsidRDefault="00061A2B">
            <w:pPr>
              <w:pStyle w:val="Paragraphedeliste"/>
              <w:numPr>
                <w:ilvl w:val="0"/>
                <w:numId w:val="1"/>
              </w:numPr>
            </w:pPr>
            <w:r>
              <w:t>La loi imposant le recrutement</w:t>
            </w:r>
            <w:r>
              <w:t xml:space="preserve"> de 6% de travailleurs handicapés pour les entreprises de plus de 20 salariés est un moyen de lutter contre les discriminations</w:t>
            </w:r>
          </w:p>
        </w:tc>
        <w:tc>
          <w:tcPr>
            <w:tcW w:w="426" w:type="dxa"/>
            <w:shd w:val="clear" w:color="auto" w:fill="FFFFFF"/>
          </w:tcPr>
          <w:p w:rsidR="00530486" w:rsidRDefault="00061A2B">
            <w:pPr>
              <w:rPr>
                <w:rFonts w:ascii="Times New Roman" w:hAnsi="Times New Roman"/>
              </w:rPr>
            </w:pPr>
            <w:r>
              <w:rPr>
                <w:rFonts w:ascii="Times New Roman" w:hAnsi="Times New Roman"/>
              </w:rPr>
              <w:t>□</w:t>
            </w:r>
          </w:p>
          <w:p w:rsidR="00530486" w:rsidRDefault="00530486"/>
          <w:p w:rsidR="00530486" w:rsidRDefault="00061A2B">
            <w:r>
              <w:t>□</w:t>
            </w:r>
          </w:p>
          <w:p w:rsidR="00530486" w:rsidRDefault="00530486"/>
          <w:p w:rsidR="00530486" w:rsidRDefault="00061A2B">
            <w:r>
              <w:t>□</w:t>
            </w:r>
          </w:p>
          <w:p w:rsidR="00530486" w:rsidRDefault="00061A2B">
            <w:r>
              <w:t>□</w:t>
            </w:r>
          </w:p>
          <w:p w:rsidR="00530486" w:rsidRDefault="00530486"/>
          <w:p w:rsidR="00530486" w:rsidRDefault="00061A2B">
            <w:r>
              <w:t>□</w:t>
            </w:r>
          </w:p>
          <w:p w:rsidR="00530486" w:rsidRDefault="00061A2B">
            <w:r>
              <w:t>□</w:t>
            </w:r>
          </w:p>
          <w:p w:rsidR="00530486" w:rsidRDefault="00061A2B">
            <w:r>
              <w:t>□</w:t>
            </w:r>
          </w:p>
          <w:p w:rsidR="00530486" w:rsidRDefault="00061A2B">
            <w:r>
              <w:t>□</w:t>
            </w:r>
          </w:p>
          <w:p w:rsidR="00530486" w:rsidRDefault="00061A2B">
            <w:r>
              <w:t>□</w:t>
            </w:r>
          </w:p>
          <w:p w:rsidR="00530486" w:rsidRDefault="00061A2B">
            <w:r>
              <w:t>□</w:t>
            </w:r>
          </w:p>
        </w:tc>
        <w:tc>
          <w:tcPr>
            <w:tcW w:w="393" w:type="dxa"/>
            <w:shd w:val="clear" w:color="auto" w:fill="FFFFFF"/>
          </w:tcPr>
          <w:p w:rsidR="00530486" w:rsidRDefault="00061A2B">
            <w:r>
              <w:t>□</w:t>
            </w:r>
          </w:p>
          <w:p w:rsidR="00530486" w:rsidRDefault="00530486"/>
          <w:p w:rsidR="00530486" w:rsidRDefault="00061A2B">
            <w:r>
              <w:t>□</w:t>
            </w:r>
          </w:p>
          <w:p w:rsidR="00530486" w:rsidRDefault="00530486"/>
          <w:p w:rsidR="00530486" w:rsidRDefault="00061A2B">
            <w:r>
              <w:t>□</w:t>
            </w:r>
          </w:p>
          <w:p w:rsidR="00530486" w:rsidRDefault="00061A2B">
            <w:r>
              <w:t>□</w:t>
            </w:r>
          </w:p>
          <w:p w:rsidR="00530486" w:rsidRDefault="00530486"/>
          <w:p w:rsidR="00530486" w:rsidRDefault="00061A2B">
            <w:r>
              <w:t>□</w:t>
            </w:r>
          </w:p>
          <w:p w:rsidR="00530486" w:rsidRDefault="00061A2B">
            <w:r>
              <w:t>□</w:t>
            </w:r>
          </w:p>
          <w:p w:rsidR="00530486" w:rsidRDefault="00061A2B">
            <w:r>
              <w:t>□</w:t>
            </w:r>
          </w:p>
          <w:p w:rsidR="00530486" w:rsidRDefault="00061A2B">
            <w:r>
              <w:t>□</w:t>
            </w:r>
          </w:p>
          <w:p w:rsidR="00530486" w:rsidRDefault="00061A2B">
            <w:r>
              <w:t>□</w:t>
            </w:r>
          </w:p>
          <w:p w:rsidR="00530486" w:rsidRDefault="00061A2B">
            <w:r>
              <w:t>□</w:t>
            </w:r>
          </w:p>
        </w:tc>
      </w:tr>
      <w:tr w:rsidR="00530486">
        <w:trPr>
          <w:trHeight w:val="94"/>
        </w:trPr>
        <w:tc>
          <w:tcPr>
            <w:tcW w:w="9631" w:type="dxa"/>
            <w:shd w:val="clear" w:color="auto" w:fill="FFFFFF"/>
          </w:tcPr>
          <w:p w:rsidR="00530486" w:rsidRDefault="00530486"/>
        </w:tc>
        <w:tc>
          <w:tcPr>
            <w:tcW w:w="426" w:type="dxa"/>
            <w:shd w:val="clear" w:color="auto" w:fill="FFFFFF"/>
          </w:tcPr>
          <w:p w:rsidR="00530486" w:rsidRDefault="00530486">
            <w:pPr>
              <w:rPr>
                <w:rFonts w:ascii="Times New Roman" w:hAnsi="Times New Roman"/>
              </w:rPr>
            </w:pPr>
          </w:p>
        </w:tc>
        <w:tc>
          <w:tcPr>
            <w:tcW w:w="393" w:type="dxa"/>
            <w:shd w:val="clear" w:color="auto" w:fill="FFFFFF"/>
          </w:tcPr>
          <w:p w:rsidR="00530486" w:rsidRDefault="00530486"/>
        </w:tc>
      </w:tr>
    </w:tbl>
    <w:p w:rsidR="00530486" w:rsidRDefault="00061A2B">
      <w:pPr>
        <w:pBdr>
          <w:bottom w:val="single" w:sz="4" w:space="1" w:color="00000A"/>
        </w:pBdr>
        <w:jc w:val="center"/>
        <w:rPr>
          <w:b/>
          <w:sz w:val="28"/>
        </w:rPr>
      </w:pPr>
      <w:r>
        <w:rPr>
          <w:b/>
          <w:sz w:val="28"/>
        </w:rPr>
        <w:t>Étude de documents</w:t>
      </w:r>
    </w:p>
    <w:p w:rsidR="00530486" w:rsidRDefault="00061A2B">
      <w:pPr>
        <w:jc w:val="both"/>
        <w:rPr>
          <w:b/>
          <w:color w:val="000000"/>
        </w:rPr>
      </w:pPr>
      <w:r>
        <w:rPr>
          <w:b/>
          <w:color w:val="000000"/>
          <w:u w:val="single"/>
        </w:rPr>
        <w:t>Document 1</w:t>
      </w:r>
      <w:r>
        <w:rPr>
          <w:b/>
          <w:color w:val="000000"/>
        </w:rPr>
        <w:t> : Les trois mondes de l’Etat-providence</w:t>
      </w:r>
    </w:p>
    <w:p w:rsidR="00530486" w:rsidRDefault="00061A2B">
      <w:pPr>
        <w:jc w:val="right"/>
      </w:pPr>
      <w:r>
        <w:rPr>
          <w:noProof/>
        </w:rPr>
        <w:drawing>
          <wp:inline distT="0" distB="0" distL="0" distR="0">
            <wp:extent cx="6645910" cy="2091055"/>
            <wp:effectExtent l="0" t="0" r="0" b="0"/>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6" cstate="print"/>
                    <a:stretch>
                      <a:fillRect/>
                    </a:stretch>
                  </pic:blipFill>
                  <pic:spPr bwMode="auto">
                    <a:xfrm>
                      <a:off x="0" y="0"/>
                      <a:ext cx="6645910" cy="2091055"/>
                    </a:xfrm>
                    <a:prstGeom prst="rect">
                      <a:avLst/>
                    </a:prstGeom>
                  </pic:spPr>
                </pic:pic>
              </a:graphicData>
            </a:graphic>
          </wp:inline>
        </w:drawing>
      </w:r>
    </w:p>
    <w:p w:rsidR="00530486" w:rsidRDefault="00061A2B">
      <w:pPr>
        <w:ind w:left="360"/>
        <w:jc w:val="both"/>
        <w:rPr>
          <w:rFonts w:ascii="Times New Roman" w:hAnsi="Times New Roman"/>
          <w:u w:val="single"/>
        </w:rPr>
      </w:pPr>
      <w:r>
        <w:rPr>
          <w:rFonts w:ascii="Times New Roman" w:hAnsi="Times New Roman"/>
          <w:u w:val="single"/>
        </w:rPr>
        <w:t>Questions :</w:t>
      </w:r>
    </w:p>
    <w:p w:rsidR="00530486" w:rsidRDefault="00061A2B">
      <w:pPr>
        <w:pStyle w:val="Paragraphedeliste"/>
        <w:numPr>
          <w:ilvl w:val="0"/>
          <w:numId w:val="2"/>
        </w:numPr>
        <w:jc w:val="both"/>
      </w:pPr>
      <w:r>
        <w:rPr>
          <w:rFonts w:ascii="Times New Roman" w:hAnsi="Times New Roman"/>
        </w:rPr>
        <w:t xml:space="preserve"> Pourquoi le modèle d’Etat providence libéral ne développe pas un système de protection étendu ? </w:t>
      </w:r>
    </w:p>
    <w:p w:rsidR="00530486" w:rsidRDefault="00061A2B">
      <w:pPr>
        <w:pStyle w:val="Paragraphedeliste"/>
        <w:numPr>
          <w:ilvl w:val="0"/>
          <w:numId w:val="2"/>
        </w:numPr>
        <w:jc w:val="both"/>
        <w:rPr>
          <w:rFonts w:ascii="Times New Roman" w:hAnsi="Times New Roman"/>
        </w:rPr>
      </w:pPr>
      <w:r>
        <w:rPr>
          <w:rFonts w:ascii="Times New Roman" w:hAnsi="Times New Roman"/>
        </w:rPr>
        <w:t xml:space="preserve">Pourquoi l’Etat-providence de la France et l’Allemagne est-il nommé de « corporatiste » ?  </w:t>
      </w:r>
    </w:p>
    <w:p w:rsidR="00530486" w:rsidRDefault="00061A2B">
      <w:pPr>
        <w:pStyle w:val="Paragraphedeliste"/>
        <w:numPr>
          <w:ilvl w:val="0"/>
          <w:numId w:val="2"/>
        </w:numPr>
        <w:jc w:val="both"/>
        <w:rPr>
          <w:rFonts w:ascii="Times New Roman" w:hAnsi="Times New Roman"/>
        </w:rPr>
      </w:pPr>
      <w:r>
        <w:rPr>
          <w:rFonts w:ascii="Times New Roman" w:hAnsi="Times New Roman"/>
        </w:rPr>
        <w:t>Par quel levier, l’Etat-providence social démocrate jo</w:t>
      </w:r>
      <w:r>
        <w:rPr>
          <w:rFonts w:ascii="Times New Roman" w:hAnsi="Times New Roman"/>
        </w:rPr>
        <w:t xml:space="preserve">ue t il un rôle puissant de </w:t>
      </w:r>
      <w:proofErr w:type="spellStart"/>
      <w:r>
        <w:rPr>
          <w:rFonts w:ascii="Times New Roman" w:hAnsi="Times New Roman"/>
        </w:rPr>
        <w:t>redistributeur</w:t>
      </w:r>
      <w:proofErr w:type="spellEnd"/>
      <w:r>
        <w:rPr>
          <w:rFonts w:ascii="Times New Roman" w:hAnsi="Times New Roman"/>
        </w:rPr>
        <w:t xml:space="preserve"> ?  </w:t>
      </w:r>
    </w:p>
    <w:p w:rsidR="00530486" w:rsidRDefault="00530486">
      <w:pPr>
        <w:jc w:val="both"/>
      </w:pPr>
    </w:p>
    <w:p w:rsidR="00530486" w:rsidRDefault="00061A2B">
      <w:pPr>
        <w:jc w:val="both"/>
        <w:rPr>
          <w:b/>
        </w:rPr>
      </w:pPr>
      <w:r>
        <w:rPr>
          <w:b/>
          <w:u w:val="single"/>
        </w:rPr>
        <w:t>Document 2</w:t>
      </w:r>
      <w:r>
        <w:rPr>
          <w:b/>
        </w:rPr>
        <w:t xml:space="preserve"> : Le système de protection sociale français : un système hybride</w:t>
      </w:r>
    </w:p>
    <w:p w:rsidR="00530486" w:rsidRDefault="00061A2B">
      <w:pPr>
        <w:jc w:val="both"/>
        <w:rPr>
          <w:rFonts w:ascii="Times New Roman" w:hAnsi="Times New Roman"/>
        </w:rPr>
      </w:pPr>
      <w:r>
        <w:rPr>
          <w:rFonts w:ascii="Times New Roman" w:hAnsi="Times New Roman"/>
        </w:rPr>
        <w:t xml:space="preserve"> Le système français de protection sociale est un compromis. La sécurité sociale est fondée par l’ordonnance de 4 octobre 1945 sous </w:t>
      </w:r>
      <w:r>
        <w:rPr>
          <w:rFonts w:ascii="Times New Roman" w:hAnsi="Times New Roman"/>
        </w:rPr>
        <w:t>l’impulsion de Pierre Laroque, nommé par le Conseil National de la Résistance en 1944. […] Ce système se compose de deux couvertures sociales : - Une couverture du non-travail. Le travailleur se voit assuré en cas d’incapacité temporaire (la maladie par ex</w:t>
      </w:r>
      <w:r>
        <w:rPr>
          <w:rFonts w:ascii="Times New Roman" w:hAnsi="Times New Roman"/>
        </w:rPr>
        <w:t xml:space="preserve">emple) ou définitive (la retraite) de travail. Dans le cadre de cette logique </w:t>
      </w:r>
      <w:proofErr w:type="spellStart"/>
      <w:r>
        <w:rPr>
          <w:rFonts w:ascii="Times New Roman" w:hAnsi="Times New Roman"/>
        </w:rPr>
        <w:t>bismarkienne</w:t>
      </w:r>
      <w:proofErr w:type="spellEnd"/>
      <w:r>
        <w:rPr>
          <w:rFonts w:ascii="Times New Roman" w:hAnsi="Times New Roman"/>
        </w:rPr>
        <w:t>, le travailleur peut s’appuyer sur le système de protection sociale pour parer aux conséquences de sa cessation d’activité. Il s’est ouvert des droits (ainsi qu’à sa</w:t>
      </w:r>
      <w:r>
        <w:rPr>
          <w:rFonts w:ascii="Times New Roman" w:hAnsi="Times New Roman"/>
        </w:rPr>
        <w:t xml:space="preserve"> famille) grâce à son travail et à ses cotisations. Il a contribué financièrement au fonctionnement du système. - Une couverture de non revenu. Le consommateur bénéficie d’un substitut de revenu dans le cas </w:t>
      </w:r>
      <w:r>
        <w:rPr>
          <w:rFonts w:ascii="Times New Roman" w:hAnsi="Times New Roman"/>
        </w:rPr>
        <w:lastRenderedPageBreak/>
        <w:t>où il est dans l’incapacité définitive ou tempora</w:t>
      </w:r>
      <w:r>
        <w:rPr>
          <w:rFonts w:ascii="Times New Roman" w:hAnsi="Times New Roman"/>
        </w:rPr>
        <w:t xml:space="preserve">ire de subvenir à ses besoins. Dans le cadre de cette logique </w:t>
      </w:r>
      <w:proofErr w:type="spellStart"/>
      <w:r>
        <w:rPr>
          <w:rFonts w:ascii="Times New Roman" w:hAnsi="Times New Roman"/>
        </w:rPr>
        <w:t>béveridgienne</w:t>
      </w:r>
      <w:proofErr w:type="spellEnd"/>
      <w:r>
        <w:rPr>
          <w:rFonts w:ascii="Times New Roman" w:hAnsi="Times New Roman"/>
        </w:rPr>
        <w:t>, l’individu bénéficie de la solidarité nationale indépendamment de sa position sur le marché du travail et de sa contribution financière au système. Il dispose d’allocations (famil</w:t>
      </w:r>
      <w:r>
        <w:rPr>
          <w:rFonts w:ascii="Times New Roman" w:hAnsi="Times New Roman"/>
        </w:rPr>
        <w:t>iales en particulier) et plus généralement d’un revenu, fut-il minimum (Le minimum vieillesse, le RSA par exemple) pour continuer à être un citoyen économique. L’individu en tant que tel bénéficie d’une « créance » sur la société.</w:t>
      </w:r>
    </w:p>
    <w:p w:rsidR="00530486" w:rsidRDefault="00061A2B">
      <w:pPr>
        <w:jc w:val="right"/>
        <w:rPr>
          <w:rFonts w:ascii="Times New Roman" w:hAnsi="Times New Roman"/>
        </w:rPr>
      </w:pPr>
      <w:r>
        <w:rPr>
          <w:rFonts w:ascii="Times New Roman" w:hAnsi="Times New Roman"/>
        </w:rPr>
        <w:t xml:space="preserve"> P. </w:t>
      </w:r>
      <w:proofErr w:type="spellStart"/>
      <w:r>
        <w:rPr>
          <w:rFonts w:ascii="Times New Roman" w:hAnsi="Times New Roman"/>
        </w:rPr>
        <w:t>Batifoulié</w:t>
      </w:r>
      <w:proofErr w:type="spellEnd"/>
      <w:r>
        <w:rPr>
          <w:rFonts w:ascii="Times New Roman" w:hAnsi="Times New Roman"/>
        </w:rPr>
        <w:t xml:space="preserve">, V. </w:t>
      </w:r>
      <w:proofErr w:type="spellStart"/>
      <w:r>
        <w:rPr>
          <w:rFonts w:ascii="Times New Roman" w:hAnsi="Times New Roman"/>
        </w:rPr>
        <w:t>Touzé</w:t>
      </w:r>
      <w:proofErr w:type="spellEnd"/>
      <w:r>
        <w:rPr>
          <w:rFonts w:ascii="Times New Roman" w:hAnsi="Times New Roman"/>
        </w:rPr>
        <w:t>,</w:t>
      </w:r>
      <w:r>
        <w:rPr>
          <w:rFonts w:ascii="Times New Roman" w:hAnsi="Times New Roman"/>
        </w:rPr>
        <w:t xml:space="preserve"> La protection sociale, </w:t>
      </w:r>
      <w:proofErr w:type="spellStart"/>
      <w:r>
        <w:rPr>
          <w:rFonts w:ascii="Times New Roman" w:hAnsi="Times New Roman"/>
        </w:rPr>
        <w:t>Dunod</w:t>
      </w:r>
      <w:proofErr w:type="spellEnd"/>
      <w:r>
        <w:rPr>
          <w:rFonts w:ascii="Times New Roman" w:hAnsi="Times New Roman"/>
        </w:rPr>
        <w:t xml:space="preserve">, 2000. </w:t>
      </w:r>
    </w:p>
    <w:p w:rsidR="00530486" w:rsidRDefault="00061A2B">
      <w:pPr>
        <w:rPr>
          <w:rFonts w:ascii="Times New Roman" w:hAnsi="Times New Roman"/>
          <w:u w:val="single"/>
        </w:rPr>
      </w:pPr>
      <w:r>
        <w:rPr>
          <w:rFonts w:ascii="Times New Roman" w:hAnsi="Times New Roman"/>
          <w:u w:val="single"/>
        </w:rPr>
        <w:t>Question :</w:t>
      </w:r>
    </w:p>
    <w:p w:rsidR="00530486" w:rsidRDefault="00061A2B">
      <w:pPr>
        <w:jc w:val="both"/>
        <w:rPr>
          <w:rFonts w:ascii="Times New Roman" w:hAnsi="Times New Roman"/>
        </w:rPr>
      </w:pPr>
      <w:r>
        <w:rPr>
          <w:rFonts w:ascii="Times New Roman" w:hAnsi="Times New Roman"/>
        </w:rPr>
        <w:t>1/ Pourquoi peut-on dire que la protection sociale française est un « système hybride » ?</w:t>
      </w:r>
    </w:p>
    <w:p w:rsidR="00530486" w:rsidRDefault="00530486">
      <w:pPr>
        <w:jc w:val="both"/>
      </w:pPr>
    </w:p>
    <w:p w:rsidR="00530486" w:rsidRDefault="00061A2B">
      <w:pPr>
        <w:jc w:val="both"/>
      </w:pPr>
      <w:r>
        <w:rPr>
          <w:b/>
          <w:u w:val="single"/>
        </w:rPr>
        <w:t>Document 3</w:t>
      </w:r>
      <w:r>
        <w:t xml:space="preserve"> : </w:t>
      </w:r>
    </w:p>
    <w:tbl>
      <w:tblPr>
        <w:tblW w:w="10605" w:type="dxa"/>
        <w:tblLook w:val="04A0"/>
      </w:tblPr>
      <w:tblGrid>
        <w:gridCol w:w="7296"/>
        <w:gridCol w:w="3386"/>
      </w:tblGrid>
      <w:tr w:rsidR="00530486">
        <w:tc>
          <w:tcPr>
            <w:tcW w:w="7248" w:type="dxa"/>
            <w:shd w:val="clear" w:color="auto" w:fill="auto"/>
          </w:tcPr>
          <w:p w:rsidR="00530486" w:rsidRDefault="00061A2B">
            <w:pPr>
              <w:jc w:val="both"/>
            </w:pPr>
            <w:r>
              <w:rPr>
                <w:noProof/>
              </w:rPr>
              <w:drawing>
                <wp:inline distT="0" distB="0" distL="0" distR="0">
                  <wp:extent cx="5076825" cy="7581900"/>
                  <wp:effectExtent l="0" t="0" r="0" b="0"/>
                  <wp:docPr id="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a:picLocks noChangeAspect="1" noChangeArrowheads="1"/>
                          </pic:cNvPicPr>
                        </pic:nvPicPr>
                        <pic:blipFill>
                          <a:blip r:embed="rId7" cstate="print"/>
                          <a:stretch>
                            <a:fillRect/>
                          </a:stretch>
                        </pic:blipFill>
                        <pic:spPr bwMode="auto">
                          <a:xfrm>
                            <a:off x="0" y="0"/>
                            <a:ext cx="5076825" cy="7581900"/>
                          </a:xfrm>
                          <a:prstGeom prst="rect">
                            <a:avLst/>
                          </a:prstGeom>
                        </pic:spPr>
                      </pic:pic>
                    </a:graphicData>
                  </a:graphic>
                </wp:inline>
              </w:drawing>
            </w:r>
          </w:p>
        </w:tc>
        <w:tc>
          <w:tcPr>
            <w:tcW w:w="3356" w:type="dxa"/>
            <w:shd w:val="clear" w:color="auto" w:fill="auto"/>
          </w:tcPr>
          <w:p w:rsidR="00530486" w:rsidRDefault="00061A2B">
            <w:pPr>
              <w:jc w:val="both"/>
              <w:rPr>
                <w:rFonts w:ascii="Times New Roman" w:eastAsia="Times New Roman" w:hAnsi="Times New Roman"/>
                <w:color w:val="1E1E1E"/>
              </w:rPr>
            </w:pPr>
            <w:r>
              <w:rPr>
                <w:rFonts w:ascii="Times New Roman" w:eastAsia="Times New Roman" w:hAnsi="Times New Roman"/>
                <w:color w:val="1E1E1E"/>
                <w:u w:val="single"/>
              </w:rPr>
              <w:t>Questions</w:t>
            </w:r>
            <w:r>
              <w:rPr>
                <w:rFonts w:ascii="Times New Roman" w:eastAsia="Times New Roman" w:hAnsi="Times New Roman"/>
                <w:color w:val="1E1E1E"/>
              </w:rPr>
              <w:t xml:space="preserve"> : </w:t>
            </w:r>
          </w:p>
          <w:p w:rsidR="00530486" w:rsidRDefault="00061A2B">
            <w:pPr>
              <w:jc w:val="both"/>
              <w:rPr>
                <w:rFonts w:ascii="Times New Roman" w:eastAsia="Times New Roman" w:hAnsi="Times New Roman"/>
                <w:color w:val="1E1E1E"/>
              </w:rPr>
            </w:pPr>
            <w:r>
              <w:rPr>
                <w:rFonts w:ascii="Times New Roman" w:eastAsia="Times New Roman" w:hAnsi="Times New Roman"/>
                <w:color w:val="1E1E1E"/>
              </w:rPr>
              <w:t>1)</w:t>
            </w:r>
            <w:r>
              <w:rPr>
                <w:rFonts w:ascii="Times New Roman" w:eastAsia="Times New Roman" w:hAnsi="Times New Roman"/>
                <w:color w:val="1E1E1E"/>
              </w:rPr>
              <w:tab/>
              <w:t xml:space="preserve">Quelle est la situation des dépenses sociales de la France par rapport aux autres </w:t>
            </w:r>
            <w:r>
              <w:rPr>
                <w:rFonts w:ascii="Times New Roman" w:eastAsia="Times New Roman" w:hAnsi="Times New Roman"/>
                <w:color w:val="1E1E1E"/>
              </w:rPr>
              <w:t>pays du monde ?</w:t>
            </w:r>
          </w:p>
          <w:p w:rsidR="00530486" w:rsidRDefault="00061A2B">
            <w:pPr>
              <w:jc w:val="both"/>
            </w:pPr>
            <w:r>
              <w:rPr>
                <w:rFonts w:ascii="Times New Roman" w:eastAsia="Times New Roman" w:hAnsi="Times New Roman"/>
                <w:color w:val="1E1E1E"/>
              </w:rPr>
              <w:t>2)</w:t>
            </w:r>
            <w:r>
              <w:rPr>
                <w:rFonts w:ascii="Times New Roman" w:eastAsia="Times New Roman" w:hAnsi="Times New Roman"/>
                <w:color w:val="1E1E1E"/>
              </w:rPr>
              <w:tab/>
              <w:t>Peut-on faire un lien entre le type d’Etat-Providence choisi par les pays et la part des dépenses sociales dans le PIB ? Expliquez</w:t>
            </w:r>
          </w:p>
          <w:p w:rsidR="00530486" w:rsidRDefault="00530486">
            <w:pPr>
              <w:jc w:val="both"/>
              <w:rPr>
                <w:rFonts w:ascii="Times New Roman" w:eastAsia="Times New Roman" w:hAnsi="Times New Roman"/>
                <w:color w:val="1E1E1E"/>
              </w:rPr>
            </w:pPr>
          </w:p>
          <w:p w:rsidR="00530486" w:rsidRDefault="00530486">
            <w:pPr>
              <w:jc w:val="both"/>
              <w:rPr>
                <w:rFonts w:ascii="Times New Roman" w:eastAsia="Times New Roman" w:hAnsi="Times New Roman"/>
                <w:color w:val="1E1E1E"/>
              </w:rPr>
            </w:pPr>
          </w:p>
          <w:p w:rsidR="00530486" w:rsidRDefault="00530486">
            <w:pPr>
              <w:jc w:val="both"/>
              <w:rPr>
                <w:rFonts w:ascii="Times New Roman" w:eastAsia="Times New Roman" w:hAnsi="Times New Roman"/>
                <w:color w:val="1E1E1E"/>
              </w:rPr>
            </w:pPr>
          </w:p>
          <w:p w:rsidR="00530486" w:rsidRDefault="00530486">
            <w:pPr>
              <w:jc w:val="both"/>
              <w:rPr>
                <w:rFonts w:ascii="Times New Roman" w:eastAsia="Times New Roman" w:hAnsi="Times New Roman"/>
                <w:color w:val="1E1E1E"/>
              </w:rPr>
            </w:pPr>
          </w:p>
          <w:p w:rsidR="00530486" w:rsidRDefault="00530486">
            <w:pPr>
              <w:jc w:val="both"/>
              <w:rPr>
                <w:rFonts w:ascii="Times New Roman" w:eastAsia="Times New Roman" w:hAnsi="Times New Roman"/>
                <w:color w:val="1E1E1E"/>
              </w:rPr>
            </w:pPr>
          </w:p>
          <w:p w:rsidR="00530486" w:rsidRDefault="00530486">
            <w:pPr>
              <w:jc w:val="both"/>
              <w:rPr>
                <w:rFonts w:ascii="Times New Roman" w:eastAsia="Times New Roman" w:hAnsi="Times New Roman"/>
                <w:color w:val="1E1E1E"/>
              </w:rPr>
            </w:pPr>
          </w:p>
          <w:p w:rsidR="00530486" w:rsidRDefault="00530486">
            <w:pPr>
              <w:jc w:val="both"/>
              <w:rPr>
                <w:rFonts w:ascii="Times New Roman" w:eastAsia="Times New Roman" w:hAnsi="Times New Roman"/>
                <w:color w:val="1E1E1E"/>
              </w:rPr>
            </w:pPr>
          </w:p>
          <w:p w:rsidR="00530486" w:rsidRDefault="00530486">
            <w:pPr>
              <w:jc w:val="both"/>
              <w:rPr>
                <w:rFonts w:ascii="Times New Roman" w:eastAsia="Times New Roman" w:hAnsi="Times New Roman"/>
                <w:color w:val="1E1E1E"/>
              </w:rPr>
            </w:pPr>
          </w:p>
          <w:p w:rsidR="00530486" w:rsidRDefault="00530486">
            <w:pPr>
              <w:jc w:val="both"/>
              <w:rPr>
                <w:rFonts w:ascii="Times New Roman" w:eastAsia="Times New Roman" w:hAnsi="Times New Roman"/>
                <w:color w:val="1E1E1E"/>
              </w:rPr>
            </w:pPr>
          </w:p>
          <w:p w:rsidR="00530486" w:rsidRDefault="00530486">
            <w:pPr>
              <w:jc w:val="both"/>
              <w:rPr>
                <w:rFonts w:ascii="Times New Roman" w:eastAsia="Times New Roman" w:hAnsi="Times New Roman"/>
                <w:color w:val="1E1E1E"/>
              </w:rPr>
            </w:pPr>
          </w:p>
          <w:p w:rsidR="00530486" w:rsidRDefault="00530486">
            <w:pPr>
              <w:jc w:val="both"/>
              <w:rPr>
                <w:rFonts w:ascii="Times New Roman" w:eastAsia="Times New Roman" w:hAnsi="Times New Roman"/>
                <w:color w:val="1E1E1E"/>
              </w:rPr>
            </w:pPr>
          </w:p>
          <w:p w:rsidR="00530486" w:rsidRDefault="00530486">
            <w:pPr>
              <w:jc w:val="both"/>
              <w:rPr>
                <w:rFonts w:ascii="Times New Roman" w:eastAsia="Times New Roman" w:hAnsi="Times New Roman"/>
                <w:color w:val="1E1E1E"/>
              </w:rPr>
            </w:pPr>
          </w:p>
          <w:p w:rsidR="00530486" w:rsidRDefault="00530486">
            <w:pPr>
              <w:jc w:val="both"/>
              <w:rPr>
                <w:rFonts w:ascii="Times New Roman" w:eastAsia="Times New Roman" w:hAnsi="Times New Roman"/>
                <w:color w:val="1E1E1E"/>
              </w:rPr>
            </w:pPr>
          </w:p>
          <w:p w:rsidR="00530486" w:rsidRDefault="00530486">
            <w:pPr>
              <w:jc w:val="both"/>
              <w:rPr>
                <w:rFonts w:ascii="Times New Roman" w:eastAsia="Times New Roman" w:hAnsi="Times New Roman"/>
                <w:color w:val="1E1E1E"/>
              </w:rPr>
            </w:pPr>
          </w:p>
          <w:p w:rsidR="00530486" w:rsidRDefault="00530486">
            <w:pPr>
              <w:jc w:val="both"/>
              <w:rPr>
                <w:rFonts w:ascii="Times New Roman" w:eastAsia="Times New Roman" w:hAnsi="Times New Roman"/>
                <w:color w:val="1E1E1E"/>
              </w:rPr>
            </w:pPr>
          </w:p>
          <w:p w:rsidR="00530486" w:rsidRDefault="00530486">
            <w:pPr>
              <w:jc w:val="both"/>
              <w:rPr>
                <w:rFonts w:ascii="Times New Roman" w:eastAsia="Times New Roman" w:hAnsi="Times New Roman"/>
                <w:color w:val="1E1E1E"/>
              </w:rPr>
            </w:pPr>
          </w:p>
          <w:p w:rsidR="00530486" w:rsidRDefault="00530486">
            <w:pPr>
              <w:jc w:val="both"/>
              <w:rPr>
                <w:rFonts w:ascii="Times New Roman" w:eastAsia="Times New Roman" w:hAnsi="Times New Roman"/>
                <w:color w:val="1E1E1E"/>
              </w:rPr>
            </w:pPr>
          </w:p>
          <w:p w:rsidR="00530486" w:rsidRDefault="00530486">
            <w:pPr>
              <w:jc w:val="both"/>
              <w:rPr>
                <w:rFonts w:ascii="Times New Roman" w:eastAsia="Times New Roman" w:hAnsi="Times New Roman"/>
                <w:color w:val="1E1E1E"/>
              </w:rPr>
            </w:pPr>
          </w:p>
          <w:p w:rsidR="00530486" w:rsidRDefault="00530486">
            <w:pPr>
              <w:jc w:val="both"/>
              <w:rPr>
                <w:rFonts w:ascii="Times New Roman" w:eastAsia="Times New Roman" w:hAnsi="Times New Roman"/>
                <w:color w:val="1E1E1E"/>
              </w:rPr>
            </w:pPr>
          </w:p>
          <w:p w:rsidR="00530486" w:rsidRDefault="00530486">
            <w:pPr>
              <w:jc w:val="both"/>
              <w:rPr>
                <w:rFonts w:ascii="Times New Roman" w:eastAsia="Times New Roman" w:hAnsi="Times New Roman"/>
                <w:color w:val="1E1E1E"/>
              </w:rPr>
            </w:pPr>
          </w:p>
          <w:p w:rsidR="00530486" w:rsidRDefault="00530486">
            <w:pPr>
              <w:jc w:val="both"/>
              <w:rPr>
                <w:rFonts w:ascii="Times New Roman" w:eastAsia="Times New Roman" w:hAnsi="Times New Roman"/>
                <w:color w:val="1E1E1E"/>
              </w:rPr>
            </w:pPr>
          </w:p>
          <w:p w:rsidR="00530486" w:rsidRDefault="00530486">
            <w:pPr>
              <w:jc w:val="both"/>
              <w:rPr>
                <w:rFonts w:ascii="Times New Roman" w:eastAsia="Times New Roman" w:hAnsi="Times New Roman"/>
                <w:color w:val="1E1E1E"/>
              </w:rPr>
            </w:pPr>
          </w:p>
          <w:p w:rsidR="00530486" w:rsidRDefault="00530486">
            <w:pPr>
              <w:jc w:val="both"/>
              <w:rPr>
                <w:rFonts w:ascii="Times New Roman" w:eastAsia="Times New Roman" w:hAnsi="Times New Roman"/>
                <w:color w:val="1E1E1E"/>
              </w:rPr>
            </w:pPr>
          </w:p>
          <w:p w:rsidR="00530486" w:rsidRDefault="00530486">
            <w:pPr>
              <w:jc w:val="both"/>
              <w:rPr>
                <w:rFonts w:ascii="Times New Roman" w:eastAsia="Times New Roman" w:hAnsi="Times New Roman"/>
                <w:color w:val="1E1E1E"/>
              </w:rPr>
            </w:pPr>
          </w:p>
          <w:p w:rsidR="00530486" w:rsidRDefault="00530486">
            <w:pPr>
              <w:jc w:val="both"/>
              <w:rPr>
                <w:rFonts w:ascii="Times New Roman" w:eastAsia="Times New Roman" w:hAnsi="Times New Roman"/>
                <w:color w:val="1E1E1E"/>
              </w:rPr>
            </w:pPr>
          </w:p>
          <w:p w:rsidR="00530486" w:rsidRDefault="00061A2B">
            <w:pPr>
              <w:rPr>
                <w:i/>
              </w:rPr>
            </w:pPr>
            <w:r>
              <w:rPr>
                <w:i/>
              </w:rPr>
              <w:t xml:space="preserve">Source : </w:t>
            </w:r>
            <w:r>
              <w:rPr>
                <w:i/>
              </w:rPr>
              <w:t>http://www.lemonde.fr/les-decodeurs/article/2014/11/25/les-prestations-sociales-representent-le-tiers-du-pib-francais_4528884_4355770.html</w:t>
            </w:r>
          </w:p>
          <w:p w:rsidR="00530486" w:rsidRDefault="00530486">
            <w:pPr>
              <w:jc w:val="both"/>
              <w:rPr>
                <w:rFonts w:ascii="Times New Roman" w:eastAsia="Times New Roman" w:hAnsi="Times New Roman"/>
                <w:b/>
                <w:color w:val="1E1E1E"/>
              </w:rPr>
            </w:pPr>
          </w:p>
        </w:tc>
      </w:tr>
    </w:tbl>
    <w:p w:rsidR="00530486" w:rsidRDefault="00530486">
      <w:pPr>
        <w:jc w:val="both"/>
        <w:rPr>
          <w:rFonts w:ascii="Times New Roman" w:eastAsia="Times New Roman" w:hAnsi="Times New Roman"/>
          <w:b/>
          <w:color w:val="1E1E1E"/>
        </w:rPr>
      </w:pPr>
    </w:p>
    <w:tbl>
      <w:tblPr>
        <w:tblW w:w="10681" w:type="dxa"/>
        <w:tblLook w:val="04A0"/>
      </w:tblPr>
      <w:tblGrid>
        <w:gridCol w:w="9276"/>
        <w:gridCol w:w="1405"/>
      </w:tblGrid>
      <w:tr w:rsidR="00530486">
        <w:tc>
          <w:tcPr>
            <w:tcW w:w="9275" w:type="dxa"/>
            <w:shd w:val="clear" w:color="auto" w:fill="auto"/>
          </w:tcPr>
          <w:p w:rsidR="00530486" w:rsidRDefault="00530486">
            <w:pPr>
              <w:jc w:val="both"/>
              <w:rPr>
                <w:b/>
              </w:rPr>
            </w:pPr>
          </w:p>
        </w:tc>
        <w:tc>
          <w:tcPr>
            <w:tcW w:w="1405" w:type="dxa"/>
            <w:shd w:val="clear" w:color="auto" w:fill="auto"/>
          </w:tcPr>
          <w:p w:rsidR="00530486" w:rsidRDefault="00530486">
            <w:pPr>
              <w:jc w:val="both"/>
              <w:rPr>
                <w:b/>
              </w:rPr>
            </w:pPr>
          </w:p>
        </w:tc>
      </w:tr>
    </w:tbl>
    <w:p w:rsidR="00530486" w:rsidRDefault="00061A2B">
      <w:pPr>
        <w:jc w:val="both"/>
        <w:rPr>
          <w:b/>
        </w:rPr>
      </w:pPr>
      <w:r>
        <w:rPr>
          <w:b/>
          <w:u w:val="single"/>
        </w:rPr>
        <w:lastRenderedPageBreak/>
        <w:t>Document 4 </w:t>
      </w:r>
      <w:proofErr w:type="gramStart"/>
      <w:r>
        <w:rPr>
          <w:b/>
        </w:rPr>
        <w:t>:  La</w:t>
      </w:r>
      <w:proofErr w:type="gramEnd"/>
      <w:r>
        <w:rPr>
          <w:b/>
        </w:rPr>
        <w:t xml:space="preserve"> nouvelle prime d’activité : êtes-vous concernés ?</w:t>
      </w:r>
    </w:p>
    <w:p w:rsidR="00530486" w:rsidRDefault="00061A2B">
      <w:pPr>
        <w:pBdr>
          <w:bottom w:val="single" w:sz="4" w:space="1" w:color="00000A"/>
        </w:pBdr>
        <w:jc w:val="both"/>
        <w:rPr>
          <w:rFonts w:ascii="Times New Roman" w:hAnsi="Times New Roman"/>
        </w:rPr>
      </w:pPr>
      <w:r>
        <w:rPr>
          <w:rFonts w:ascii="Times New Roman" w:hAnsi="Times New Roman"/>
        </w:rPr>
        <w:t xml:space="preserve">Depuis le 1er janvier 2016, un nouveau </w:t>
      </w:r>
      <w:r>
        <w:rPr>
          <w:rFonts w:ascii="Times New Roman" w:hAnsi="Times New Roman"/>
        </w:rPr>
        <w:t>dispositif d’aide, la prime d’activité, a remplacé deux dispositifs existants :</w:t>
      </w:r>
    </w:p>
    <w:p w:rsidR="00530486" w:rsidRDefault="00061A2B">
      <w:pPr>
        <w:pBdr>
          <w:bottom w:val="single" w:sz="4" w:space="1" w:color="00000A"/>
        </w:pBdr>
        <w:jc w:val="both"/>
        <w:rPr>
          <w:rFonts w:ascii="Times New Roman" w:hAnsi="Times New Roman"/>
        </w:rPr>
      </w:pPr>
      <w:r>
        <w:rPr>
          <w:rFonts w:ascii="Times New Roman" w:hAnsi="Times New Roman"/>
        </w:rPr>
        <w:t>- le RSA activité, qui était une aide mensuelle attribuée aux travailleurs qui touchaient de faibles revenus</w:t>
      </w:r>
    </w:p>
    <w:p w:rsidR="00530486" w:rsidRDefault="00061A2B">
      <w:pPr>
        <w:pBdr>
          <w:bottom w:val="single" w:sz="4" w:space="1" w:color="00000A"/>
        </w:pBdr>
        <w:jc w:val="both"/>
        <w:rPr>
          <w:rFonts w:ascii="Times New Roman" w:hAnsi="Times New Roman"/>
        </w:rPr>
      </w:pPr>
      <w:r>
        <w:rPr>
          <w:rFonts w:ascii="Times New Roman" w:hAnsi="Times New Roman"/>
        </w:rPr>
        <w:t xml:space="preserve">- et la prime pour l’emploi, qui était perçue annuellement sous la </w:t>
      </w:r>
      <w:r>
        <w:rPr>
          <w:rFonts w:ascii="Times New Roman" w:hAnsi="Times New Roman"/>
        </w:rPr>
        <w:t>forme d’un crédit d’impôt.</w:t>
      </w:r>
    </w:p>
    <w:p w:rsidR="00530486" w:rsidRDefault="00061A2B">
      <w:pPr>
        <w:pBdr>
          <w:bottom w:val="single" w:sz="4" w:space="1" w:color="00000A"/>
        </w:pBdr>
        <w:jc w:val="both"/>
        <w:rPr>
          <w:rFonts w:ascii="Times New Roman" w:hAnsi="Times New Roman"/>
        </w:rPr>
      </w:pPr>
      <w:r>
        <w:rPr>
          <w:rFonts w:ascii="Times New Roman" w:hAnsi="Times New Roman"/>
        </w:rPr>
        <w:t>Ces aides présentaient plusieurs limites :</w:t>
      </w:r>
    </w:p>
    <w:p w:rsidR="00530486" w:rsidRDefault="00061A2B">
      <w:pPr>
        <w:pBdr>
          <w:bottom w:val="single" w:sz="4" w:space="1" w:color="00000A"/>
        </w:pBdr>
        <w:jc w:val="both"/>
        <w:rPr>
          <w:rFonts w:ascii="Times New Roman" w:hAnsi="Times New Roman"/>
        </w:rPr>
      </w:pPr>
      <w:r>
        <w:rPr>
          <w:rFonts w:ascii="Times New Roman" w:hAnsi="Times New Roman"/>
        </w:rPr>
        <w:t>- Tout d’abord, les conditions d’obtention du RSA activité étaient particulièrement restrictives pour les jeunes : il fallait qu’ils aient travaillé au minium 2 ans au cours des 3 derniè</w:t>
      </w:r>
      <w:r>
        <w:rPr>
          <w:rFonts w:ascii="Times New Roman" w:hAnsi="Times New Roman"/>
        </w:rPr>
        <w:t>res années ou qu’ils soient célibataires avec un enfant à charge.</w:t>
      </w:r>
    </w:p>
    <w:p w:rsidR="00530486" w:rsidRDefault="00061A2B">
      <w:pPr>
        <w:pBdr>
          <w:bottom w:val="single" w:sz="4" w:space="1" w:color="00000A"/>
        </w:pBdr>
        <w:jc w:val="both"/>
        <w:rPr>
          <w:rFonts w:ascii="Times New Roman" w:hAnsi="Times New Roman"/>
        </w:rPr>
      </w:pPr>
      <w:r>
        <w:rPr>
          <w:rFonts w:ascii="Times New Roman" w:hAnsi="Times New Roman"/>
        </w:rPr>
        <w:t xml:space="preserve">- De plus, les conditions d’attributions étaient mal connues des bénéficiaires potentiels : le RSA activité était en effet versé pour le ménage. Ainsi, une personne gagnant le SMIC et étant </w:t>
      </w:r>
      <w:r>
        <w:rPr>
          <w:rFonts w:ascii="Times New Roman" w:hAnsi="Times New Roman"/>
        </w:rPr>
        <w:t>en couple avec une personne sans emploi, ne savait pas forcément qu’ils pouvaient y avaient droit. Par ailleurs, le RSA activité était souvent confondu avec le RSA socle destiné aux personnes sans emploi. Par conséquent, seul un tiers des personnes qui pou</w:t>
      </w:r>
      <w:r>
        <w:rPr>
          <w:rFonts w:ascii="Times New Roman" w:hAnsi="Times New Roman"/>
        </w:rPr>
        <w:t>vaient en bénéficier le demandait.</w:t>
      </w:r>
    </w:p>
    <w:p w:rsidR="00530486" w:rsidRDefault="00061A2B">
      <w:pPr>
        <w:pBdr>
          <w:bottom w:val="single" w:sz="4" w:space="1" w:color="00000A"/>
        </w:pBdr>
        <w:jc w:val="both"/>
        <w:rPr>
          <w:rFonts w:ascii="Times New Roman" w:hAnsi="Times New Roman"/>
        </w:rPr>
      </w:pPr>
      <w:r>
        <w:rPr>
          <w:rFonts w:ascii="Times New Roman" w:hAnsi="Times New Roman"/>
        </w:rPr>
        <w:t>- Quant à la prime pour l’emploi, elle n’était versée qu’une seule fois par an et n’était pas forcément perçue au moment où le bénéficiaire en avait le plus besoin car son montant était calculé à partir des revenus de l’a</w:t>
      </w:r>
      <w:r>
        <w:rPr>
          <w:rFonts w:ascii="Times New Roman" w:hAnsi="Times New Roman"/>
        </w:rPr>
        <w:t>nnée précédente.</w:t>
      </w:r>
    </w:p>
    <w:p w:rsidR="00530486" w:rsidRDefault="00061A2B">
      <w:pPr>
        <w:pBdr>
          <w:bottom w:val="single" w:sz="4" w:space="1" w:color="00000A"/>
        </w:pBdr>
        <w:jc w:val="both"/>
        <w:rPr>
          <w:rFonts w:ascii="Times New Roman" w:hAnsi="Times New Roman"/>
        </w:rPr>
      </w:pPr>
      <w:r>
        <w:rPr>
          <w:rFonts w:ascii="Times New Roman" w:hAnsi="Times New Roman"/>
        </w:rPr>
        <w:t>La prime d’activité a donc été créée pour pallier les limites du RSA activité et de la prime pour l’emploi.</w:t>
      </w:r>
    </w:p>
    <w:p w:rsidR="00530486" w:rsidRDefault="00061A2B">
      <w:pPr>
        <w:pBdr>
          <w:bottom w:val="single" w:sz="4" w:space="1" w:color="00000A"/>
        </w:pBdr>
        <w:jc w:val="both"/>
        <w:rPr>
          <w:rFonts w:ascii="Times New Roman" w:hAnsi="Times New Roman"/>
        </w:rPr>
      </w:pPr>
      <w:r>
        <w:rPr>
          <w:rFonts w:ascii="Times New Roman" w:hAnsi="Times New Roman"/>
        </w:rPr>
        <w:t>Ses objectifs sont les mêmes que ceux des deux anciens dispositifs : favoriser les personnes qui exercent une activité à faible rev</w:t>
      </w:r>
      <w:r>
        <w:rPr>
          <w:rFonts w:ascii="Times New Roman" w:hAnsi="Times New Roman"/>
        </w:rPr>
        <w:t>enu en augmentant leur pouvoir d’achat afin de les inciter à rester en activité.</w:t>
      </w:r>
    </w:p>
    <w:p w:rsidR="00530486" w:rsidRDefault="00061A2B">
      <w:pPr>
        <w:pBdr>
          <w:bottom w:val="single" w:sz="4" w:space="1" w:color="00000A"/>
        </w:pBdr>
        <w:jc w:val="both"/>
      </w:pPr>
      <w:r>
        <w:rPr>
          <w:rFonts w:ascii="Times New Roman" w:hAnsi="Times New Roman"/>
        </w:rPr>
        <w:t>La prime d’activité peut bénéficier à toute personne en activité, à partir de 18 ans et gagnant moins de 1500 euros net par mois. Il s’agit d’une allocation mensuelle versée i</w:t>
      </w:r>
      <w:r>
        <w:rPr>
          <w:rFonts w:ascii="Times New Roman" w:hAnsi="Times New Roman"/>
        </w:rPr>
        <w:t xml:space="preserve">ndividuellement et calculée à partir des revenus d’activité professionnelle du ménage et des allocations logements et familiales du </w:t>
      </w:r>
      <w:r>
        <w:t>trimestre précédent. Elle s’adapte donc régulièrement aux changements de situation du demandeur. A titre d’exemple, une pers</w:t>
      </w:r>
      <w:r>
        <w:t>onne célibataire sans enfant, travaillant à temps plein et gagnant le montant du Smic devrait toucher une prime mensuelle de 132 euros. Cette nouvelle prime devrait toucher davantage les personnes qui en ont besoin, ainsi 4 à 5 millions de personnes pourra</w:t>
      </w:r>
      <w:r>
        <w:t>ient en bénéficier. L’Etat prévoit que le coût de ce nouveau dispositif soit équivalent à ceux des anciens.</w:t>
      </w:r>
    </w:p>
    <w:p w:rsidR="00530486" w:rsidRDefault="00061A2B">
      <w:pPr>
        <w:pBdr>
          <w:bottom w:val="single" w:sz="4" w:space="1" w:color="00000A"/>
        </w:pBdr>
      </w:pPr>
      <w:r>
        <w:rPr>
          <w:noProof/>
        </w:rPr>
        <w:drawing>
          <wp:inline distT="0" distB="0" distL="0" distR="0">
            <wp:extent cx="6645910" cy="3808095"/>
            <wp:effectExtent l="0" t="0" r="0" b="0"/>
            <wp:docPr id="3"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pic:cNvPicPr>
                      <a:picLocks noChangeAspect="1" noChangeArrowheads="1"/>
                    </pic:cNvPicPr>
                  </pic:nvPicPr>
                  <pic:blipFill>
                    <a:blip r:embed="rId8" cstate="print"/>
                    <a:stretch>
                      <a:fillRect/>
                    </a:stretch>
                  </pic:blipFill>
                  <pic:spPr bwMode="auto">
                    <a:xfrm>
                      <a:off x="0" y="0"/>
                      <a:ext cx="6645910" cy="3808095"/>
                    </a:xfrm>
                    <a:prstGeom prst="rect">
                      <a:avLst/>
                    </a:prstGeom>
                  </pic:spPr>
                </pic:pic>
              </a:graphicData>
            </a:graphic>
          </wp:inline>
        </w:drawing>
      </w:r>
    </w:p>
    <w:p w:rsidR="00530486" w:rsidRDefault="00061A2B">
      <w:pPr>
        <w:pBdr>
          <w:bottom w:val="single" w:sz="4" w:space="1" w:color="00000A"/>
        </w:pBdr>
        <w:rPr>
          <w:rFonts w:ascii="Times New Roman" w:hAnsi="Times New Roman"/>
          <w:u w:val="single"/>
        </w:rPr>
      </w:pPr>
      <w:r>
        <w:rPr>
          <w:rFonts w:ascii="Times New Roman" w:hAnsi="Times New Roman"/>
          <w:u w:val="single"/>
        </w:rPr>
        <w:t>Questions :</w:t>
      </w:r>
    </w:p>
    <w:p w:rsidR="00530486" w:rsidRDefault="00061A2B">
      <w:pPr>
        <w:pBdr>
          <w:bottom w:val="single" w:sz="4" w:space="1" w:color="00000A"/>
        </w:pBdr>
        <w:rPr>
          <w:rFonts w:ascii="Times New Roman" w:hAnsi="Times New Roman"/>
        </w:rPr>
      </w:pPr>
      <w:r>
        <w:rPr>
          <w:rFonts w:ascii="Times New Roman" w:hAnsi="Times New Roman"/>
        </w:rPr>
        <w:t>1. En quoi cette prime pour l’emploi est-elle nouvelle ?</w:t>
      </w:r>
    </w:p>
    <w:p w:rsidR="00530486" w:rsidRDefault="00061A2B">
      <w:pPr>
        <w:pBdr>
          <w:bottom w:val="single" w:sz="4" w:space="1" w:color="00000A"/>
        </w:pBdr>
      </w:pPr>
      <w:r>
        <w:rPr>
          <w:rFonts w:ascii="Times New Roman" w:hAnsi="Times New Roman"/>
        </w:rPr>
        <w:t>2. Pourquoi peut-on dire qu’elle renforce la logique d'assistance dans le mod</w:t>
      </w:r>
      <w:r>
        <w:rPr>
          <w:rFonts w:ascii="Times New Roman" w:hAnsi="Times New Roman"/>
        </w:rPr>
        <w:t xml:space="preserve">èle de protection sociale français ?  </w:t>
      </w:r>
    </w:p>
    <w:p w:rsidR="00530486" w:rsidRDefault="00530486">
      <w:pPr>
        <w:pBdr>
          <w:bottom w:val="single" w:sz="4" w:space="1" w:color="00000A"/>
        </w:pBdr>
        <w:rPr>
          <w:b/>
          <w:sz w:val="28"/>
        </w:rPr>
      </w:pPr>
    </w:p>
    <w:p w:rsidR="00530486" w:rsidRDefault="00530486">
      <w:pPr>
        <w:pBdr>
          <w:bottom w:val="single" w:sz="4" w:space="1" w:color="00000A"/>
        </w:pBdr>
        <w:rPr>
          <w:b/>
          <w:sz w:val="28"/>
        </w:rPr>
      </w:pPr>
    </w:p>
    <w:p w:rsidR="00530486" w:rsidRDefault="00061A2B">
      <w:pPr>
        <w:pBdr>
          <w:bottom w:val="single" w:sz="4" w:space="1" w:color="00000A"/>
        </w:pBdr>
        <w:rPr>
          <w:b/>
        </w:rPr>
      </w:pPr>
      <w:r>
        <w:rPr>
          <w:b/>
          <w:u w:val="single"/>
        </w:rPr>
        <w:t>Document 5</w:t>
      </w:r>
      <w:r>
        <w:rPr>
          <w:b/>
        </w:rPr>
        <w:t xml:space="preserve"> : L’exemple des dépenses d’éducation : une redistribution verticale et horizontale </w:t>
      </w:r>
    </w:p>
    <w:p w:rsidR="00530486" w:rsidRDefault="00061A2B">
      <w:pPr>
        <w:pBdr>
          <w:bottom w:val="single" w:sz="4" w:space="1" w:color="00000A"/>
        </w:pBdr>
        <w:jc w:val="both"/>
        <w:rPr>
          <w:rFonts w:ascii="Times New Roman" w:hAnsi="Times New Roman"/>
        </w:rPr>
      </w:pPr>
      <w:r>
        <w:rPr>
          <w:rFonts w:ascii="Times New Roman" w:hAnsi="Times New Roman"/>
        </w:rPr>
        <w:t>La fourniture gratuite de ce service [d’éducation] par l’Etat peut être analysée comme un transfert en nature dont le mo</w:t>
      </w:r>
      <w:r>
        <w:rPr>
          <w:rFonts w:ascii="Times New Roman" w:hAnsi="Times New Roman"/>
        </w:rPr>
        <w:t xml:space="preserve">ntant unitaire est, en première analyse le même pour tous. Dès lors, il s’agit d’une dépense progressive ; ce d’autant plus qu’elle se substitue à celle que les parents auraient consenti en son absence. […] Les dépenses d’éducation nationale ont également </w:t>
      </w:r>
      <w:r>
        <w:rPr>
          <w:rFonts w:ascii="Times New Roman" w:hAnsi="Times New Roman"/>
        </w:rPr>
        <w:t xml:space="preserve">des effets </w:t>
      </w:r>
      <w:proofErr w:type="spellStart"/>
      <w:r>
        <w:rPr>
          <w:rFonts w:ascii="Times New Roman" w:hAnsi="Times New Roman"/>
        </w:rPr>
        <w:t>redistributifs</w:t>
      </w:r>
      <w:proofErr w:type="spellEnd"/>
      <w:r>
        <w:rPr>
          <w:rFonts w:ascii="Times New Roman" w:hAnsi="Times New Roman"/>
        </w:rPr>
        <w:t xml:space="preserve"> particulièrement importants au plan horizontal. En effet, en raison de l’obligation de scolarisation, les ménages comportant plusieurs enfants en bénéficient davantage que ceux qui n’en ont qu’un et, a fortiori, que ceux qui n’en </w:t>
      </w:r>
      <w:r>
        <w:rPr>
          <w:rFonts w:ascii="Times New Roman" w:hAnsi="Times New Roman"/>
        </w:rPr>
        <w:t>comporte pas. Compte tenu du fait que les personnes appartenant à un ménage comportant trois enfants ou plus disposent, en moyenne, d’un niveau de vie plus faible que les autres ménages, cette composante horizontale de la redistribution opérée par l’Educat</w:t>
      </w:r>
      <w:r>
        <w:rPr>
          <w:rFonts w:ascii="Times New Roman" w:hAnsi="Times New Roman"/>
        </w:rPr>
        <w:t xml:space="preserve">ion nationale augmente son caractère </w:t>
      </w:r>
      <w:proofErr w:type="spellStart"/>
      <w:r>
        <w:rPr>
          <w:rFonts w:ascii="Times New Roman" w:hAnsi="Times New Roman"/>
        </w:rPr>
        <w:t>redistributif</w:t>
      </w:r>
      <w:proofErr w:type="spellEnd"/>
      <w:r>
        <w:rPr>
          <w:rFonts w:ascii="Times New Roman" w:hAnsi="Times New Roman"/>
        </w:rPr>
        <w:t xml:space="preserve"> au plan vertical. […] Les ménages les plus modestes et les familles bénéficient particulièrement de ces transferts liés à l’éducation. </w:t>
      </w:r>
    </w:p>
    <w:p w:rsidR="00530486" w:rsidRDefault="00061A2B">
      <w:pPr>
        <w:pBdr>
          <w:bottom w:val="single" w:sz="4" w:space="1" w:color="00000A"/>
        </w:pBdr>
        <w:jc w:val="right"/>
        <w:rPr>
          <w:rFonts w:ascii="Times New Roman" w:hAnsi="Times New Roman"/>
        </w:rPr>
      </w:pPr>
      <w:r>
        <w:rPr>
          <w:rFonts w:ascii="Times New Roman" w:hAnsi="Times New Roman"/>
          <w:i/>
        </w:rPr>
        <w:t>Conseil des prélèvements obligatoires, « Prélèvements obligatoires su</w:t>
      </w:r>
      <w:r>
        <w:rPr>
          <w:rFonts w:ascii="Times New Roman" w:hAnsi="Times New Roman"/>
          <w:i/>
        </w:rPr>
        <w:t xml:space="preserve">r les ménages : progressivité et effets </w:t>
      </w:r>
      <w:proofErr w:type="spellStart"/>
      <w:r>
        <w:rPr>
          <w:rFonts w:ascii="Times New Roman" w:hAnsi="Times New Roman"/>
          <w:i/>
        </w:rPr>
        <w:t>redistributifs</w:t>
      </w:r>
      <w:proofErr w:type="spellEnd"/>
      <w:r>
        <w:rPr>
          <w:rFonts w:ascii="Times New Roman" w:hAnsi="Times New Roman"/>
          <w:i/>
        </w:rPr>
        <w:t xml:space="preserve"> », mai 2011.</w:t>
      </w:r>
      <w:r>
        <w:rPr>
          <w:rFonts w:ascii="Times New Roman" w:hAnsi="Times New Roman"/>
        </w:rPr>
        <w:t xml:space="preserve"> </w:t>
      </w:r>
    </w:p>
    <w:p w:rsidR="00530486" w:rsidRDefault="00061A2B">
      <w:pPr>
        <w:pBdr>
          <w:bottom w:val="single" w:sz="4" w:space="1" w:color="00000A"/>
        </w:pBdr>
        <w:jc w:val="both"/>
        <w:rPr>
          <w:rFonts w:ascii="Times New Roman" w:hAnsi="Times New Roman"/>
          <w:u w:val="single"/>
        </w:rPr>
      </w:pPr>
      <w:r>
        <w:rPr>
          <w:rFonts w:ascii="Times New Roman" w:hAnsi="Times New Roman"/>
          <w:u w:val="single"/>
        </w:rPr>
        <w:t>Questions :</w:t>
      </w:r>
    </w:p>
    <w:p w:rsidR="00530486" w:rsidRDefault="00061A2B">
      <w:pPr>
        <w:pBdr>
          <w:bottom w:val="single" w:sz="4" w:space="1" w:color="00000A"/>
        </w:pBdr>
        <w:jc w:val="both"/>
        <w:rPr>
          <w:rFonts w:ascii="Times New Roman" w:hAnsi="Times New Roman"/>
        </w:rPr>
      </w:pPr>
      <w:r>
        <w:rPr>
          <w:rFonts w:ascii="Times New Roman" w:hAnsi="Times New Roman"/>
        </w:rPr>
        <w:t xml:space="preserve">1) Pourquoi peut-on dire que l’école est un des moyens pour réduire les inégalités ? </w:t>
      </w:r>
    </w:p>
    <w:p w:rsidR="00530486" w:rsidRDefault="00061A2B">
      <w:pPr>
        <w:pBdr>
          <w:bottom w:val="single" w:sz="4" w:space="1" w:color="00000A"/>
        </w:pBdr>
        <w:jc w:val="both"/>
        <w:rPr>
          <w:rFonts w:ascii="Times New Roman" w:hAnsi="Times New Roman"/>
        </w:rPr>
      </w:pPr>
      <w:r>
        <w:rPr>
          <w:rFonts w:ascii="Times New Roman" w:hAnsi="Times New Roman"/>
        </w:rPr>
        <w:t xml:space="preserve">2) Pourquoi l’Etat prend-il en charge la production de ce service ? </w:t>
      </w:r>
    </w:p>
    <w:p w:rsidR="00530486" w:rsidRDefault="00061A2B">
      <w:pPr>
        <w:pBdr>
          <w:bottom w:val="single" w:sz="4" w:space="1" w:color="00000A"/>
        </w:pBdr>
        <w:jc w:val="both"/>
      </w:pPr>
      <w:r>
        <w:rPr>
          <w:rFonts w:ascii="Times New Roman" w:hAnsi="Times New Roman"/>
        </w:rPr>
        <w:t>3) Quels sont les ménages qui bénéficient le plus de la redistribution opérée par l’éducation</w:t>
      </w:r>
    </w:p>
    <w:p w:rsidR="00530486" w:rsidRDefault="00530486">
      <w:pPr>
        <w:pBdr>
          <w:bottom w:val="single" w:sz="4" w:space="1" w:color="00000A"/>
        </w:pBdr>
        <w:rPr>
          <w:b/>
          <w:sz w:val="28"/>
        </w:rPr>
      </w:pPr>
    </w:p>
    <w:p w:rsidR="00530486" w:rsidRDefault="00061A2B">
      <w:pPr>
        <w:pBdr>
          <w:bottom w:val="single" w:sz="4" w:space="1" w:color="00000A"/>
        </w:pBdr>
        <w:rPr>
          <w:rFonts w:ascii="Times New Roman" w:hAnsi="Times New Roman"/>
          <w:b/>
        </w:rPr>
      </w:pPr>
      <w:r>
        <w:rPr>
          <w:rFonts w:ascii="Times New Roman" w:hAnsi="Times New Roman"/>
          <w:b/>
          <w:u w:val="single"/>
        </w:rPr>
        <w:t xml:space="preserve">Document 6 </w:t>
      </w:r>
      <w:r>
        <w:rPr>
          <w:rFonts w:ascii="Times New Roman" w:hAnsi="Times New Roman"/>
          <w:b/>
        </w:rPr>
        <w:t xml:space="preserve"> </w:t>
      </w:r>
    </w:p>
    <w:tbl>
      <w:tblPr>
        <w:tblW w:w="10681" w:type="dxa"/>
        <w:tblLook w:val="04A0"/>
      </w:tblPr>
      <w:tblGrid>
        <w:gridCol w:w="5495"/>
        <w:gridCol w:w="5186"/>
      </w:tblGrid>
      <w:tr w:rsidR="00530486">
        <w:tc>
          <w:tcPr>
            <w:tcW w:w="5494" w:type="dxa"/>
            <w:shd w:val="clear" w:color="auto" w:fill="auto"/>
          </w:tcPr>
          <w:p w:rsidR="00530486" w:rsidRDefault="00061A2B">
            <w:pPr>
              <w:jc w:val="both"/>
            </w:pPr>
            <w:r>
              <w:rPr>
                <w:noProof/>
              </w:rPr>
              <w:drawing>
                <wp:inline distT="0" distB="0" distL="0" distR="0">
                  <wp:extent cx="3333115" cy="3804920"/>
                  <wp:effectExtent l="0" t="0" r="0" b="0"/>
                  <wp:docPr id="4" name="Image3" descr="numérisation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descr="numérisation0001"/>
                          <pic:cNvPicPr>
                            <a:picLocks noChangeAspect="1" noChangeArrowheads="1"/>
                          </pic:cNvPicPr>
                        </pic:nvPicPr>
                        <pic:blipFill>
                          <a:blip r:embed="rId9" cstate="print"/>
                          <a:srcRect l="3561" b="49355"/>
                          <a:stretch>
                            <a:fillRect/>
                          </a:stretch>
                        </pic:blipFill>
                        <pic:spPr bwMode="auto">
                          <a:xfrm>
                            <a:off x="0" y="0"/>
                            <a:ext cx="3333115" cy="3804920"/>
                          </a:xfrm>
                          <a:prstGeom prst="rect">
                            <a:avLst/>
                          </a:prstGeom>
                        </pic:spPr>
                      </pic:pic>
                    </a:graphicData>
                  </a:graphic>
                </wp:inline>
              </w:drawing>
            </w:r>
          </w:p>
          <w:p w:rsidR="00530486" w:rsidRDefault="00061A2B">
            <w:pPr>
              <w:jc w:val="both"/>
              <w:rPr>
                <w:rFonts w:ascii="Times New Roman" w:hAnsi="Times New Roman"/>
              </w:rPr>
            </w:pPr>
            <w:r>
              <w:rPr>
                <w:rFonts w:ascii="Times New Roman" w:hAnsi="Times New Roman"/>
              </w:rPr>
              <w:t xml:space="preserve">Note : Plus l’indice d’équité est élevé, plus la probabilité pour les individus de mourir au même âge est forte (l’inégalité devant la mort est </w:t>
            </w:r>
            <w:r>
              <w:rPr>
                <w:rFonts w:ascii="Times New Roman" w:hAnsi="Times New Roman"/>
              </w:rPr>
              <w:t>alors faible)</w:t>
            </w:r>
          </w:p>
          <w:p w:rsidR="00530486" w:rsidRDefault="00061A2B">
            <w:r>
              <w:rPr>
                <w:noProof/>
              </w:rPr>
              <w:drawing>
                <wp:inline distT="0" distB="0" distL="0" distR="0">
                  <wp:extent cx="2466975" cy="904875"/>
                  <wp:effectExtent l="0" t="0" r="0" b="0"/>
                  <wp:docPr id="5"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
                          <pic:cNvPicPr>
                            <a:picLocks noChangeAspect="1" noChangeArrowheads="1"/>
                          </pic:cNvPicPr>
                        </pic:nvPicPr>
                        <pic:blipFill>
                          <a:blip r:embed="rId10" cstate="print"/>
                          <a:stretch>
                            <a:fillRect/>
                          </a:stretch>
                        </pic:blipFill>
                        <pic:spPr bwMode="auto">
                          <a:xfrm>
                            <a:off x="0" y="0"/>
                            <a:ext cx="2466975" cy="904875"/>
                          </a:xfrm>
                          <a:prstGeom prst="rect">
                            <a:avLst/>
                          </a:prstGeom>
                        </pic:spPr>
                      </pic:pic>
                    </a:graphicData>
                  </a:graphic>
                </wp:inline>
              </w:drawing>
            </w:r>
          </w:p>
        </w:tc>
        <w:tc>
          <w:tcPr>
            <w:tcW w:w="5186" w:type="dxa"/>
            <w:shd w:val="clear" w:color="auto" w:fill="auto"/>
          </w:tcPr>
          <w:p w:rsidR="00530486" w:rsidRDefault="00061A2B">
            <w:pPr>
              <w:widowControl w:val="0"/>
              <w:ind w:firstLine="227"/>
              <w:jc w:val="both"/>
              <w:rPr>
                <w:rFonts w:ascii="Times New Roman" w:hAnsi="Times New Roman"/>
              </w:rPr>
            </w:pPr>
            <w:r>
              <w:rPr>
                <w:rFonts w:ascii="Times New Roman" w:hAnsi="Times New Roman"/>
              </w:rPr>
              <w:t>À la question « faut-il investir dans l'amélioration du système de santé ? », la réponse économiquement rationnelle ne peut être qu'un « oui » franc et massif. En outre, c'est à l'État, et non à l'individu, de prendre en charge la majeure p</w:t>
            </w:r>
            <w:r>
              <w:rPr>
                <w:rFonts w:ascii="Times New Roman" w:hAnsi="Times New Roman"/>
              </w:rPr>
              <w:t>artie des dépenses de santé, non seulement à cause des « externalités » engendrées par ces investissements, mais aussi pour des raisons d'équité. En effet, comme le montre bien le graphique, l'équité, mesurée par un indice de concentration des âges à la mo</w:t>
            </w:r>
            <w:r>
              <w:rPr>
                <w:rFonts w:ascii="Times New Roman" w:hAnsi="Times New Roman"/>
              </w:rPr>
              <w:t xml:space="preserve">rt est reliée négativement au taux de financement personnel (et au contraire augmente avec le degré de couverture universelle des dépenses de santé). Autrement dit, plus on s'approche d'un système de couverture universelle où peu de frais de santé restent </w:t>
            </w:r>
            <w:r>
              <w:rPr>
                <w:rFonts w:ascii="Times New Roman" w:hAnsi="Times New Roman"/>
              </w:rPr>
              <w:t>à la charge des patients, plus les gens mourront au même âge, quelles que soient leurs conditions économiques et sociales. L'exemple (ou plutôt le contre-exemple) américain est particulièrement illustratif : la médecine y est essentiellement privée, et les</w:t>
            </w:r>
            <w:r>
              <w:rPr>
                <w:rFonts w:ascii="Times New Roman" w:hAnsi="Times New Roman"/>
              </w:rPr>
              <w:t xml:space="preserve"> inégalités devant la mort y sont très fortes. Un bon système de santé est donc un système où l'État intervient de façon marquée.</w:t>
            </w:r>
          </w:p>
          <w:p w:rsidR="00530486" w:rsidRDefault="00061A2B">
            <w:pPr>
              <w:ind w:firstLine="227"/>
              <w:jc w:val="both"/>
              <w:rPr>
                <w:rFonts w:ascii="Times New Roman" w:hAnsi="Times New Roman"/>
              </w:rPr>
            </w:pPr>
            <w:r>
              <w:rPr>
                <w:rFonts w:ascii="Times New Roman" w:hAnsi="Times New Roman"/>
              </w:rPr>
              <w:t xml:space="preserve">Philippe </w:t>
            </w:r>
            <w:proofErr w:type="spellStart"/>
            <w:r>
              <w:rPr>
                <w:rFonts w:ascii="Times New Roman" w:hAnsi="Times New Roman"/>
              </w:rPr>
              <w:t>Aghion</w:t>
            </w:r>
            <w:proofErr w:type="spellEnd"/>
            <w:r>
              <w:rPr>
                <w:rFonts w:ascii="Times New Roman" w:hAnsi="Times New Roman"/>
              </w:rPr>
              <w:t xml:space="preserve"> et Alexandra Roulet, </w:t>
            </w:r>
            <w:r>
              <w:rPr>
                <w:rFonts w:ascii="Times New Roman" w:hAnsi="Times New Roman"/>
                <w:i/>
                <w:iCs/>
              </w:rPr>
              <w:t xml:space="preserve">Repenser l'État. Pour une social-démocratie de l'innovation, </w:t>
            </w:r>
            <w:r>
              <w:rPr>
                <w:rFonts w:ascii="Times New Roman" w:hAnsi="Times New Roman"/>
              </w:rPr>
              <w:t>Éd. du Seuil, 2011</w:t>
            </w:r>
          </w:p>
        </w:tc>
      </w:tr>
    </w:tbl>
    <w:p w:rsidR="00530486" w:rsidRDefault="00061A2B">
      <w:pPr>
        <w:rPr>
          <w:i/>
        </w:rPr>
      </w:pPr>
      <w:r>
        <w:rPr>
          <w:b/>
          <w:i/>
          <w:u w:val="single"/>
        </w:rPr>
        <w:t>Question</w:t>
      </w:r>
      <w:r>
        <w:rPr>
          <w:b/>
          <w:i/>
          <w:u w:val="single"/>
        </w:rPr>
        <w:t>s</w:t>
      </w:r>
      <w:r>
        <w:rPr>
          <w:i/>
        </w:rPr>
        <w:t xml:space="preserve"> :</w:t>
      </w:r>
    </w:p>
    <w:p w:rsidR="00530486" w:rsidRDefault="00061A2B">
      <w:pPr>
        <w:rPr>
          <w:i/>
        </w:rPr>
      </w:pPr>
      <w:r>
        <w:rPr>
          <w:i/>
        </w:rPr>
        <w:t>1. Pourquoi l'intervention de l'Etat en matière de santé entraîne-t-elle des externalités positives ?</w:t>
      </w:r>
    </w:p>
    <w:p w:rsidR="00530486" w:rsidRDefault="00061A2B">
      <w:pPr>
        <w:rPr>
          <w:i/>
        </w:rPr>
      </w:pPr>
      <w:r>
        <w:rPr>
          <w:i/>
        </w:rPr>
        <w:t>2. Quelle corrélation fait apparaître le graphique ?</w:t>
      </w:r>
    </w:p>
    <w:p w:rsidR="00530486" w:rsidRDefault="00530486">
      <w:pPr>
        <w:pBdr>
          <w:bottom w:val="single" w:sz="4" w:space="1" w:color="00000A"/>
        </w:pBdr>
        <w:rPr>
          <w:b/>
          <w:sz w:val="28"/>
        </w:rPr>
      </w:pPr>
    </w:p>
    <w:p w:rsidR="00530486" w:rsidRDefault="00530486">
      <w:pPr>
        <w:pBdr>
          <w:bottom w:val="single" w:sz="4" w:space="1" w:color="00000A"/>
        </w:pBdr>
        <w:rPr>
          <w:b/>
          <w:sz w:val="28"/>
        </w:rPr>
      </w:pPr>
    </w:p>
    <w:p w:rsidR="00530486" w:rsidRDefault="00061A2B">
      <w:pPr>
        <w:pBdr>
          <w:bottom w:val="single" w:sz="4" w:space="1" w:color="00000A"/>
        </w:pBdr>
        <w:rPr>
          <w:rFonts w:ascii="Times New Roman" w:hAnsi="Times New Roman"/>
          <w:b/>
          <w:u w:val="single"/>
        </w:rPr>
      </w:pPr>
      <w:r>
        <w:rPr>
          <w:rFonts w:ascii="Times New Roman" w:hAnsi="Times New Roman"/>
          <w:b/>
          <w:u w:val="single"/>
        </w:rPr>
        <w:t xml:space="preserve">Document 7 : </w:t>
      </w:r>
    </w:p>
    <w:tbl>
      <w:tblPr>
        <w:tblW w:w="10605" w:type="dxa"/>
        <w:tblLook w:val="04A0"/>
      </w:tblPr>
      <w:tblGrid>
        <w:gridCol w:w="7581"/>
        <w:gridCol w:w="3024"/>
      </w:tblGrid>
      <w:tr w:rsidR="00530486">
        <w:tc>
          <w:tcPr>
            <w:tcW w:w="7526" w:type="dxa"/>
            <w:shd w:val="clear" w:color="auto" w:fill="auto"/>
          </w:tcPr>
          <w:p w:rsidR="00530486" w:rsidRDefault="00061A2B">
            <w:r>
              <w:rPr>
                <w:noProof/>
              </w:rPr>
              <w:drawing>
                <wp:inline distT="0" distB="0" distL="0" distR="0">
                  <wp:extent cx="4676775" cy="2476500"/>
                  <wp:effectExtent l="0" t="0" r="0" b="0"/>
                  <wp:docPr id="6" name="Image5" descr="24C9E7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 descr="24C9E7E3"/>
                          <pic:cNvPicPr>
                            <a:picLocks noChangeAspect="1" noChangeArrowheads="1"/>
                          </pic:cNvPicPr>
                        </pic:nvPicPr>
                        <pic:blipFill>
                          <a:blip r:embed="rId11" cstate="print"/>
                          <a:stretch>
                            <a:fillRect/>
                          </a:stretch>
                        </pic:blipFill>
                        <pic:spPr bwMode="auto">
                          <a:xfrm>
                            <a:off x="0" y="0"/>
                            <a:ext cx="4676775" cy="2476500"/>
                          </a:xfrm>
                          <a:prstGeom prst="rect">
                            <a:avLst/>
                          </a:prstGeom>
                        </pic:spPr>
                      </pic:pic>
                    </a:graphicData>
                  </a:graphic>
                </wp:inline>
              </w:drawing>
            </w:r>
            <w:r w:rsidR="00530486">
              <w:pict>
                <v:oval id="shape_0" o:spid="_x0000_s1028" style="position:absolute;margin-left:324.75pt;margin-top:142.35pt;width:29.9pt;height:14.15pt;z-index:251656704;mso-position-horizontal-relative:text;mso-position-vertical-relative:text" filled="f">
                  <v:fill o:detectmouseclick="t"/>
                </v:oval>
              </w:pict>
            </w:r>
            <w:r w:rsidR="00530486">
              <w:pict>
                <v:oval id="_x0000_s1027" style="position:absolute;margin-left:113.25pt;margin-top:55.35pt;width:29.9pt;height:14.15pt;z-index:251657728;mso-position-horizontal-relative:text;mso-position-vertical-relative:text" filled="f">
                  <v:fill o:detectmouseclick="t"/>
                </v:oval>
              </w:pict>
            </w:r>
          </w:p>
        </w:tc>
        <w:tc>
          <w:tcPr>
            <w:tcW w:w="3078" w:type="dxa"/>
            <w:shd w:val="clear" w:color="auto" w:fill="auto"/>
          </w:tcPr>
          <w:p w:rsidR="00530486" w:rsidRDefault="00061A2B">
            <w:pPr>
              <w:rPr>
                <w:rFonts w:ascii="Times New Roman" w:hAnsi="Times New Roman"/>
              </w:rPr>
            </w:pPr>
            <w:r>
              <w:rPr>
                <w:rFonts w:ascii="Times New Roman" w:hAnsi="Times New Roman"/>
                <w:u w:val="single"/>
              </w:rPr>
              <w:t>Questions</w:t>
            </w:r>
            <w:r>
              <w:rPr>
                <w:rFonts w:ascii="Times New Roman" w:hAnsi="Times New Roman"/>
              </w:rPr>
              <w:t> :</w:t>
            </w:r>
          </w:p>
          <w:p w:rsidR="00530486" w:rsidRDefault="00061A2B">
            <w:pPr>
              <w:rPr>
                <w:rFonts w:ascii="Times New Roman" w:hAnsi="Times New Roman"/>
              </w:rPr>
            </w:pPr>
            <w:r>
              <w:rPr>
                <w:rFonts w:ascii="Times New Roman" w:hAnsi="Times New Roman"/>
              </w:rPr>
              <w:t>1) Faites une lecture des données entourées</w:t>
            </w:r>
          </w:p>
          <w:p w:rsidR="00530486" w:rsidRDefault="00061A2B">
            <w:pPr>
              <w:rPr>
                <w:rFonts w:ascii="Times New Roman" w:hAnsi="Times New Roman"/>
              </w:rPr>
            </w:pPr>
            <w:r>
              <w:rPr>
                <w:rFonts w:ascii="Times New Roman" w:hAnsi="Times New Roman"/>
              </w:rPr>
              <w:t xml:space="preserve">2) A l’aide des </w:t>
            </w:r>
            <w:r>
              <w:rPr>
                <w:rFonts w:ascii="Times New Roman" w:hAnsi="Times New Roman"/>
              </w:rPr>
              <w:t>données du tableau, peut-on dire que redistribution permet de réduire les inégalités ? Expliquez votre réponse</w:t>
            </w:r>
          </w:p>
          <w:p w:rsidR="00530486" w:rsidRDefault="00530486">
            <w:pPr>
              <w:rPr>
                <w:rFonts w:ascii="Times New Roman" w:hAnsi="Times New Roman"/>
                <w:b/>
                <w:u w:val="single"/>
              </w:rPr>
            </w:pPr>
          </w:p>
        </w:tc>
      </w:tr>
    </w:tbl>
    <w:p w:rsidR="00530486" w:rsidRDefault="00530486">
      <w:pPr>
        <w:pBdr>
          <w:bottom w:val="single" w:sz="4" w:space="1" w:color="00000A"/>
        </w:pBdr>
        <w:rPr>
          <w:rFonts w:ascii="Times New Roman" w:hAnsi="Times New Roman"/>
        </w:rPr>
      </w:pPr>
    </w:p>
    <w:p w:rsidR="00530486" w:rsidRDefault="00061A2B">
      <w:pPr>
        <w:pBdr>
          <w:bottom w:val="single" w:sz="4" w:space="1" w:color="00000A"/>
        </w:pBdr>
        <w:rPr>
          <w:rFonts w:ascii="Times New Roman" w:hAnsi="Times New Roman"/>
          <w:b/>
        </w:rPr>
      </w:pPr>
      <w:r>
        <w:rPr>
          <w:rFonts w:ascii="Times New Roman" w:hAnsi="Times New Roman"/>
          <w:b/>
        </w:rPr>
        <w:t>Document 8 :</w:t>
      </w:r>
    </w:p>
    <w:p w:rsidR="00530486" w:rsidRDefault="00530486">
      <w:pPr>
        <w:rPr>
          <w:rFonts w:ascii="Times New Roman" w:hAnsi="Times New Roman"/>
          <w:b/>
        </w:rPr>
      </w:pPr>
      <w:r w:rsidRPr="00530486">
        <w:pict>
          <v:rect id="_x0000_s1026" style="position:absolute;margin-left:-5.4pt;margin-top:.05pt;width:398.75pt;height:184.7pt;z-index:251658752;mso-wrap-distance-left:7.05pt;mso-wrap-distance-right:7.05pt" strokeweight="0">
            <v:textbox inset="0,0,0,0">
              <w:txbxContent>
                <w:tbl>
                  <w:tblPr>
                    <w:tblW w:w="7974" w:type="dxa"/>
                    <w:tblInd w:w="10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tblPr>
                  <w:tblGrid>
                    <w:gridCol w:w="4417"/>
                    <w:gridCol w:w="3557"/>
                  </w:tblGrid>
                  <w:tr w:rsidR="00530486">
                    <w:trPr>
                      <w:trHeight w:val="76"/>
                    </w:trPr>
                    <w:tc>
                      <w:tcPr>
                        <w:tcW w:w="7973"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530486" w:rsidRDefault="00061A2B">
                        <w:pPr>
                          <w:jc w:val="center"/>
                        </w:pPr>
                        <w:r>
                          <w:rPr>
                            <w:rStyle w:val="titre-bleu"/>
                            <w:rFonts w:ascii="Times New Roman" w:hAnsi="Times New Roman"/>
                            <w:b/>
                            <w:bCs/>
                          </w:rPr>
                          <w:t>Réduction des inégalités de</w:t>
                        </w:r>
                        <w:hyperlink r:id="rId12">
                          <w:r>
                            <w:rPr>
                              <w:rStyle w:val="LienInternet"/>
                              <w:rFonts w:ascii="Times New Roman" w:hAnsi="Times New Roman"/>
                              <w:b/>
                              <w:bCs/>
                              <w:color w:val="00000A"/>
                              <w:u w:val="none"/>
                            </w:rPr>
                            <w:t xml:space="preserve"> niveau de vie</w:t>
                          </w:r>
                        </w:hyperlink>
                        <w:bookmarkStart w:id="0" w:name="__UnoMark__2029_1876815558"/>
                        <w:bookmarkEnd w:id="0"/>
                        <w:r>
                          <w:rPr>
                            <w:rStyle w:val="titre-bleu"/>
                            <w:rFonts w:ascii="Times New Roman" w:hAnsi="Times New Roman"/>
                            <w:b/>
                            <w:bCs/>
                          </w:rPr>
                          <w:t xml:space="preserve"> en 2010, par la redistribution</w:t>
                        </w:r>
                      </w:p>
                    </w:tc>
                  </w:tr>
                  <w:tr w:rsidR="00530486">
                    <w:trPr>
                      <w:trHeight w:val="296"/>
                    </w:trPr>
                    <w:tc>
                      <w:tcPr>
                        <w:tcW w:w="441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530486" w:rsidRDefault="00530486">
                        <w:pPr>
                          <w:jc w:val="both"/>
                          <w:rPr>
                            <w:rFonts w:ascii="Times New Roman" w:hAnsi="Times New Roman"/>
                            <w:b/>
                          </w:rPr>
                        </w:pPr>
                        <w:bookmarkStart w:id="1" w:name="__UnoMark__2030_1876815558"/>
                        <w:bookmarkStart w:id="2" w:name="__UnoMark__2031_1876815558"/>
                        <w:bookmarkEnd w:id="1"/>
                        <w:bookmarkEnd w:id="2"/>
                      </w:p>
                    </w:tc>
                    <w:tc>
                      <w:tcPr>
                        <w:tcW w:w="3557"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530486" w:rsidRDefault="00061A2B">
                        <w:pPr>
                          <w:jc w:val="center"/>
                          <w:rPr>
                            <w:rFonts w:ascii="Times New Roman" w:hAnsi="Times New Roman"/>
                          </w:rPr>
                        </w:pPr>
                        <w:bookmarkStart w:id="3" w:name="__UnoMark__2033_1876815558"/>
                        <w:bookmarkStart w:id="4" w:name="__UnoMark__2032_1876815558"/>
                        <w:bookmarkEnd w:id="3"/>
                        <w:bookmarkEnd w:id="4"/>
                        <w:r>
                          <w:rPr>
                            <w:rFonts w:ascii="Times New Roman" w:hAnsi="Times New Roman"/>
                          </w:rPr>
                          <w:t>Contribution à la réduction des inégalités (en %)</w:t>
                        </w:r>
                      </w:p>
                    </w:tc>
                  </w:tr>
                  <w:tr w:rsidR="00530486">
                    <w:trPr>
                      <w:trHeight w:val="329"/>
                    </w:trPr>
                    <w:tc>
                      <w:tcPr>
                        <w:tcW w:w="4416"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530486" w:rsidRDefault="00061A2B">
                        <w:pPr>
                          <w:rPr>
                            <w:rFonts w:ascii="Times New Roman" w:hAnsi="Times New Roman"/>
                            <w:b/>
                            <w:bCs/>
                          </w:rPr>
                        </w:pPr>
                        <w:bookmarkStart w:id="5" w:name="__UnoMark__2035_1876815558"/>
                        <w:bookmarkStart w:id="6" w:name="__UnoMark__2034_1876815558"/>
                        <w:bookmarkEnd w:id="5"/>
                        <w:bookmarkEnd w:id="6"/>
                        <w:r>
                          <w:rPr>
                            <w:rFonts w:ascii="Times New Roman" w:hAnsi="Times New Roman"/>
                            <w:b/>
                            <w:bCs/>
                          </w:rPr>
                          <w:t>Prélèvements</w:t>
                        </w:r>
                      </w:p>
                    </w:tc>
                    <w:tc>
                      <w:tcPr>
                        <w:tcW w:w="3557"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530486" w:rsidRDefault="00061A2B">
                        <w:pPr>
                          <w:jc w:val="center"/>
                          <w:rPr>
                            <w:rFonts w:ascii="Times New Roman" w:hAnsi="Times New Roman"/>
                            <w:b/>
                            <w:bCs/>
                          </w:rPr>
                        </w:pPr>
                        <w:bookmarkStart w:id="7" w:name="__UnoMark__2037_1876815558"/>
                        <w:bookmarkStart w:id="8" w:name="__UnoMark__2036_1876815558"/>
                        <w:bookmarkEnd w:id="7"/>
                        <w:bookmarkEnd w:id="8"/>
                        <w:r>
                          <w:rPr>
                            <w:rFonts w:ascii="Times New Roman" w:hAnsi="Times New Roman"/>
                            <w:b/>
                            <w:bCs/>
                          </w:rPr>
                          <w:t>33,8</w:t>
                        </w:r>
                      </w:p>
                    </w:tc>
                  </w:tr>
                  <w:tr w:rsidR="00530486">
                    <w:trPr>
                      <w:trHeight w:val="308"/>
                    </w:trPr>
                    <w:tc>
                      <w:tcPr>
                        <w:tcW w:w="4416"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530486" w:rsidRDefault="00061A2B">
                        <w:pPr>
                          <w:rPr>
                            <w:rFonts w:ascii="Times New Roman" w:hAnsi="Times New Roman"/>
                            <w:b/>
                            <w:bCs/>
                          </w:rPr>
                        </w:pPr>
                        <w:bookmarkStart w:id="9" w:name="__UnoMark__2039_1876815558"/>
                        <w:bookmarkStart w:id="10" w:name="__UnoMark__2038_1876815558"/>
                        <w:bookmarkEnd w:id="9"/>
                        <w:bookmarkEnd w:id="10"/>
                        <w:r>
                          <w:rPr>
                            <w:rFonts w:ascii="Times New Roman" w:hAnsi="Times New Roman"/>
                            <w:b/>
                            <w:bCs/>
                          </w:rPr>
                          <w:t>Prestations</w:t>
                        </w:r>
                      </w:p>
                    </w:tc>
                    <w:tc>
                      <w:tcPr>
                        <w:tcW w:w="3557"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530486" w:rsidRDefault="00061A2B">
                        <w:pPr>
                          <w:jc w:val="center"/>
                          <w:rPr>
                            <w:rFonts w:ascii="Times New Roman" w:hAnsi="Times New Roman"/>
                            <w:b/>
                            <w:bCs/>
                          </w:rPr>
                        </w:pPr>
                        <w:bookmarkStart w:id="11" w:name="__UnoMark__2041_1876815558"/>
                        <w:bookmarkStart w:id="12" w:name="__UnoMark__2040_1876815558"/>
                        <w:bookmarkEnd w:id="11"/>
                        <w:bookmarkEnd w:id="12"/>
                        <w:r>
                          <w:rPr>
                            <w:rFonts w:ascii="Times New Roman" w:hAnsi="Times New Roman"/>
                            <w:b/>
                            <w:bCs/>
                          </w:rPr>
                          <w:t>66,2</w:t>
                        </w:r>
                      </w:p>
                    </w:tc>
                  </w:tr>
                  <w:tr w:rsidR="00530486">
                    <w:trPr>
                      <w:trHeight w:val="308"/>
                    </w:trPr>
                    <w:tc>
                      <w:tcPr>
                        <w:tcW w:w="4416"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530486" w:rsidRDefault="00061A2B">
                        <w:pPr>
                          <w:rPr>
                            <w:rFonts w:ascii="Times New Roman" w:hAnsi="Times New Roman"/>
                          </w:rPr>
                        </w:pPr>
                        <w:bookmarkStart w:id="13" w:name="__UnoMark__2043_1876815558"/>
                        <w:bookmarkStart w:id="14" w:name="__UnoMark__2042_1876815558"/>
                        <w:bookmarkEnd w:id="13"/>
                        <w:bookmarkEnd w:id="14"/>
                        <w:r>
                          <w:rPr>
                            <w:rFonts w:ascii="Times New Roman" w:hAnsi="Times New Roman"/>
                          </w:rPr>
                          <w:t>dont :</w:t>
                        </w:r>
                      </w:p>
                    </w:tc>
                    <w:tc>
                      <w:tcPr>
                        <w:tcW w:w="3557"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530486" w:rsidRDefault="00530486">
                        <w:pPr>
                          <w:rPr>
                            <w:rFonts w:ascii="Times New Roman" w:hAnsi="Times New Roman"/>
                          </w:rPr>
                        </w:pPr>
                        <w:bookmarkStart w:id="15" w:name="__UnoMark__2044_1876815558"/>
                        <w:bookmarkStart w:id="16" w:name="__UnoMark__2045_1876815558"/>
                        <w:bookmarkEnd w:id="15"/>
                        <w:bookmarkEnd w:id="16"/>
                      </w:p>
                    </w:tc>
                  </w:tr>
                  <w:tr w:rsidR="00530486">
                    <w:trPr>
                      <w:trHeight w:val="329"/>
                    </w:trPr>
                    <w:tc>
                      <w:tcPr>
                        <w:tcW w:w="4416"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530486" w:rsidRDefault="00061A2B">
                        <w:pPr>
                          <w:rPr>
                            <w:rStyle w:val="lev"/>
                            <w:rFonts w:ascii="Times New Roman" w:hAnsi="Times New Roman"/>
                            <w:vertAlign w:val="superscript"/>
                          </w:rPr>
                        </w:pPr>
                        <w:bookmarkStart w:id="17" w:name="__UnoMark__2046_1876815558"/>
                        <w:bookmarkEnd w:id="17"/>
                        <w:r>
                          <w:rPr>
                            <w:rStyle w:val="lev"/>
                            <w:rFonts w:ascii="Times New Roman" w:hAnsi="Times New Roman"/>
                          </w:rPr>
                          <w:t xml:space="preserve">Prestations familiales </w:t>
                        </w:r>
                        <w:bookmarkStart w:id="18" w:name="__UnoMark__2047_1876815558"/>
                        <w:bookmarkEnd w:id="18"/>
                        <w:r>
                          <w:rPr>
                            <w:rStyle w:val="lev"/>
                            <w:rFonts w:ascii="Times New Roman" w:hAnsi="Times New Roman"/>
                            <w:vertAlign w:val="superscript"/>
                          </w:rPr>
                          <w:t>1</w:t>
                        </w:r>
                      </w:p>
                    </w:tc>
                    <w:tc>
                      <w:tcPr>
                        <w:tcW w:w="3557"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530486" w:rsidRDefault="00061A2B">
                        <w:pPr>
                          <w:jc w:val="center"/>
                          <w:rPr>
                            <w:rStyle w:val="lev"/>
                            <w:rFonts w:ascii="Times New Roman" w:hAnsi="Times New Roman"/>
                          </w:rPr>
                        </w:pPr>
                        <w:bookmarkStart w:id="19" w:name="__UnoMark__2049_1876815558"/>
                        <w:bookmarkStart w:id="20" w:name="__UnoMark__2048_1876815558"/>
                        <w:bookmarkEnd w:id="19"/>
                        <w:bookmarkEnd w:id="20"/>
                        <w:r>
                          <w:rPr>
                            <w:rStyle w:val="lev"/>
                            <w:rFonts w:ascii="Times New Roman" w:hAnsi="Times New Roman"/>
                          </w:rPr>
                          <w:t>25,8</w:t>
                        </w:r>
                      </w:p>
                    </w:tc>
                  </w:tr>
                  <w:tr w:rsidR="00530486">
                    <w:trPr>
                      <w:trHeight w:val="308"/>
                    </w:trPr>
                    <w:tc>
                      <w:tcPr>
                        <w:tcW w:w="4416"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530486" w:rsidRDefault="00061A2B">
                        <w:pPr>
                          <w:rPr>
                            <w:rStyle w:val="lev"/>
                            <w:rFonts w:ascii="Times New Roman" w:hAnsi="Times New Roman"/>
                          </w:rPr>
                        </w:pPr>
                        <w:bookmarkStart w:id="21" w:name="__UnoMark__2051_1876815558"/>
                        <w:bookmarkStart w:id="22" w:name="__UnoMark__2050_1876815558"/>
                        <w:bookmarkEnd w:id="21"/>
                        <w:bookmarkEnd w:id="22"/>
                        <w:r>
                          <w:rPr>
                            <w:rStyle w:val="lev"/>
                            <w:rFonts w:ascii="Times New Roman" w:hAnsi="Times New Roman"/>
                          </w:rPr>
                          <w:t xml:space="preserve">Aides au logement </w:t>
                        </w:r>
                      </w:p>
                    </w:tc>
                    <w:tc>
                      <w:tcPr>
                        <w:tcW w:w="3557"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530486" w:rsidRDefault="00061A2B">
                        <w:pPr>
                          <w:jc w:val="center"/>
                          <w:rPr>
                            <w:rStyle w:val="lev"/>
                            <w:rFonts w:ascii="Times New Roman" w:hAnsi="Times New Roman"/>
                          </w:rPr>
                        </w:pPr>
                        <w:bookmarkStart w:id="23" w:name="__UnoMark__2053_1876815558"/>
                        <w:bookmarkStart w:id="24" w:name="__UnoMark__2052_1876815558"/>
                        <w:bookmarkEnd w:id="23"/>
                        <w:bookmarkEnd w:id="24"/>
                        <w:r>
                          <w:rPr>
                            <w:rStyle w:val="lev"/>
                            <w:rFonts w:ascii="Times New Roman" w:hAnsi="Times New Roman"/>
                          </w:rPr>
                          <w:t>18,5</w:t>
                        </w:r>
                      </w:p>
                    </w:tc>
                  </w:tr>
                  <w:tr w:rsidR="00530486">
                    <w:trPr>
                      <w:trHeight w:val="308"/>
                    </w:trPr>
                    <w:tc>
                      <w:tcPr>
                        <w:tcW w:w="4416"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530486" w:rsidRDefault="00061A2B">
                        <w:pPr>
                          <w:spacing w:line="195" w:lineRule="atLeast"/>
                          <w:rPr>
                            <w:rFonts w:ascii="Times New Roman" w:hAnsi="Times New Roman"/>
                            <w:b/>
                          </w:rPr>
                        </w:pPr>
                        <w:bookmarkStart w:id="25" w:name="__UnoMark__2054_1876815558"/>
                        <w:bookmarkEnd w:id="25"/>
                        <w:r>
                          <w:rPr>
                            <w:rStyle w:val="lev"/>
                            <w:rFonts w:ascii="Times New Roman" w:hAnsi="Times New Roman"/>
                          </w:rPr>
                          <w:t>Minima sociaux</w:t>
                        </w:r>
                        <w:bookmarkStart w:id="26" w:name="__UnoMark__2055_1876815558"/>
                        <w:bookmarkEnd w:id="26"/>
                        <w:r>
                          <w:rPr>
                            <w:rFonts w:ascii="Times New Roman" w:hAnsi="Times New Roman"/>
                            <w:b/>
                          </w:rPr>
                          <w:t xml:space="preserve"> </w:t>
                        </w:r>
                      </w:p>
                    </w:tc>
                    <w:tc>
                      <w:tcPr>
                        <w:tcW w:w="3557"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530486" w:rsidRDefault="00061A2B">
                        <w:pPr>
                          <w:spacing w:line="195" w:lineRule="atLeast"/>
                          <w:jc w:val="center"/>
                          <w:rPr>
                            <w:rStyle w:val="lev"/>
                            <w:rFonts w:ascii="Times New Roman" w:hAnsi="Times New Roman"/>
                          </w:rPr>
                        </w:pPr>
                        <w:bookmarkStart w:id="27" w:name="__UnoMark__2057_1876815558"/>
                        <w:bookmarkStart w:id="28" w:name="__UnoMark__2056_1876815558"/>
                        <w:bookmarkEnd w:id="27"/>
                        <w:bookmarkEnd w:id="28"/>
                        <w:r>
                          <w:rPr>
                            <w:rStyle w:val="lev"/>
                            <w:rFonts w:ascii="Times New Roman" w:hAnsi="Times New Roman"/>
                          </w:rPr>
                          <w:t>17,4</w:t>
                        </w:r>
                      </w:p>
                    </w:tc>
                  </w:tr>
                  <w:tr w:rsidR="00530486">
                    <w:trPr>
                      <w:trHeight w:val="329"/>
                    </w:trPr>
                    <w:tc>
                      <w:tcPr>
                        <w:tcW w:w="4416"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530486" w:rsidRDefault="00061A2B">
                        <w:pPr>
                          <w:rPr>
                            <w:rStyle w:val="lev"/>
                            <w:rFonts w:ascii="Times New Roman" w:hAnsi="Times New Roman"/>
                          </w:rPr>
                        </w:pPr>
                        <w:bookmarkStart w:id="29" w:name="__UnoMark__2059_1876815558"/>
                        <w:bookmarkStart w:id="30" w:name="__UnoMark__2058_1876815558"/>
                        <w:bookmarkEnd w:id="29"/>
                        <w:bookmarkEnd w:id="30"/>
                        <w:r>
                          <w:rPr>
                            <w:rStyle w:val="lev"/>
                            <w:rFonts w:ascii="Times New Roman" w:hAnsi="Times New Roman"/>
                          </w:rPr>
                          <w:t xml:space="preserve">RSA "activité" </w:t>
                        </w:r>
                      </w:p>
                    </w:tc>
                    <w:tc>
                      <w:tcPr>
                        <w:tcW w:w="3557"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530486" w:rsidRDefault="00061A2B">
                        <w:pPr>
                          <w:jc w:val="center"/>
                          <w:rPr>
                            <w:rStyle w:val="lev"/>
                            <w:rFonts w:ascii="Times New Roman" w:hAnsi="Times New Roman"/>
                          </w:rPr>
                        </w:pPr>
                        <w:bookmarkStart w:id="31" w:name="__UnoMark__2061_1876815558"/>
                        <w:bookmarkStart w:id="32" w:name="__UnoMark__2060_1876815558"/>
                        <w:bookmarkEnd w:id="31"/>
                        <w:bookmarkEnd w:id="32"/>
                        <w:r>
                          <w:rPr>
                            <w:rStyle w:val="lev"/>
                            <w:rFonts w:ascii="Times New Roman" w:hAnsi="Times New Roman"/>
                          </w:rPr>
                          <w:t>1,2</w:t>
                        </w:r>
                      </w:p>
                    </w:tc>
                  </w:tr>
                  <w:tr w:rsidR="00530486">
                    <w:trPr>
                      <w:trHeight w:val="617"/>
                    </w:trPr>
                    <w:tc>
                      <w:tcPr>
                        <w:tcW w:w="4416"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530486" w:rsidRDefault="00061A2B">
                        <w:pPr>
                          <w:rPr>
                            <w:rStyle w:val="lev"/>
                            <w:rFonts w:ascii="Times New Roman" w:hAnsi="Times New Roman"/>
                          </w:rPr>
                        </w:pPr>
                        <w:bookmarkStart w:id="33" w:name="__UnoMark__2063_1876815558"/>
                        <w:bookmarkStart w:id="34" w:name="__UnoMark__2062_1876815558"/>
                        <w:bookmarkEnd w:id="33"/>
                        <w:bookmarkEnd w:id="34"/>
                        <w:proofErr w:type="spellStart"/>
                        <w:r>
                          <w:rPr>
                            <w:rStyle w:val="lev"/>
                            <w:rFonts w:ascii="Times New Roman" w:hAnsi="Times New Roman"/>
                          </w:rPr>
                          <w:t>Apa</w:t>
                        </w:r>
                        <w:proofErr w:type="spellEnd"/>
                        <w:r>
                          <w:rPr>
                            <w:rStyle w:val="lev"/>
                            <w:rFonts w:ascii="Times New Roman" w:hAnsi="Times New Roman"/>
                          </w:rPr>
                          <w:t xml:space="preserve"> (allocation personnalisée d’autonomie)</w:t>
                        </w:r>
                      </w:p>
                    </w:tc>
                    <w:tc>
                      <w:tcPr>
                        <w:tcW w:w="3557"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530486" w:rsidRDefault="00061A2B">
                        <w:pPr>
                          <w:jc w:val="center"/>
                          <w:rPr>
                            <w:rStyle w:val="lev"/>
                            <w:rFonts w:ascii="Times New Roman" w:hAnsi="Times New Roman"/>
                          </w:rPr>
                        </w:pPr>
                        <w:bookmarkStart w:id="35" w:name="__UnoMark__2064_1876815558"/>
                        <w:bookmarkEnd w:id="35"/>
                        <w:r>
                          <w:rPr>
                            <w:rStyle w:val="lev"/>
                            <w:rFonts w:ascii="Times New Roman" w:hAnsi="Times New Roman"/>
                          </w:rPr>
                          <w:t>3,4</w:t>
                        </w:r>
                      </w:p>
                    </w:tc>
                  </w:tr>
                </w:tbl>
                <w:p w:rsidR="00530486" w:rsidRDefault="00530486">
                  <w:pPr>
                    <w:pStyle w:val="Contenudecadre"/>
                  </w:pPr>
                </w:p>
              </w:txbxContent>
            </v:textbox>
            <w10:wrap type="square"/>
          </v:rect>
        </w:pict>
      </w:r>
    </w:p>
    <w:p w:rsidR="00530486" w:rsidRDefault="00061A2B">
      <w:pPr>
        <w:jc w:val="both"/>
        <w:rPr>
          <w:rStyle w:val="txt"/>
          <w:rFonts w:ascii="Times New Roman" w:hAnsi="Times New Roman"/>
        </w:rPr>
      </w:pPr>
      <w:r>
        <w:rPr>
          <w:rStyle w:val="txt"/>
          <w:rFonts w:ascii="Times New Roman" w:hAnsi="Times New Roman"/>
          <w:u w:val="single"/>
        </w:rPr>
        <w:t>Lecture</w:t>
      </w:r>
      <w:r>
        <w:rPr>
          <w:rStyle w:val="txt"/>
          <w:rFonts w:ascii="Times New Roman" w:hAnsi="Times New Roman"/>
        </w:rPr>
        <w:t xml:space="preserve"> : les prestations contribuent pour 66,2 % à la réduction des inégalités.</w:t>
      </w:r>
    </w:p>
    <w:p w:rsidR="00530486" w:rsidRDefault="00061A2B">
      <w:pPr>
        <w:jc w:val="both"/>
        <w:rPr>
          <w:rStyle w:val="txt"/>
          <w:rFonts w:ascii="Times New Roman" w:hAnsi="Times New Roman"/>
        </w:rPr>
      </w:pPr>
      <w:r>
        <w:rPr>
          <w:rStyle w:val="txt"/>
          <w:rFonts w:ascii="Times New Roman" w:hAnsi="Times New Roman"/>
          <w:u w:val="single"/>
        </w:rPr>
        <w:t>Champ</w:t>
      </w:r>
      <w:r>
        <w:rPr>
          <w:rStyle w:val="txt"/>
          <w:rFonts w:ascii="Times New Roman" w:hAnsi="Times New Roman"/>
        </w:rPr>
        <w:t xml:space="preserve"> : personnes vivant en France métropolitaine dans un ménage dont le revenu net est positif ou nul et dont la personne de référence n’est pas étudiante</w:t>
      </w:r>
    </w:p>
    <w:p w:rsidR="00530486" w:rsidRDefault="00061A2B">
      <w:pPr>
        <w:pBdr>
          <w:bottom w:val="single" w:sz="4" w:space="1" w:color="00000A"/>
        </w:pBdr>
        <w:rPr>
          <w:rFonts w:ascii="Times New Roman" w:hAnsi="Times New Roman"/>
        </w:rPr>
      </w:pPr>
      <w:r>
        <w:rPr>
          <w:rFonts w:ascii="Times New Roman" w:hAnsi="Times New Roman"/>
          <w:vertAlign w:val="superscript"/>
        </w:rPr>
        <w:t>1</w:t>
      </w:r>
      <w:r>
        <w:rPr>
          <w:rFonts w:ascii="Times New Roman" w:hAnsi="Times New Roman"/>
        </w:rPr>
        <w:t>Elles sont versées sans c</w:t>
      </w:r>
      <w:r>
        <w:rPr>
          <w:rFonts w:ascii="Times New Roman" w:hAnsi="Times New Roman"/>
        </w:rPr>
        <w:t>ondition de cotisation préalable ou de ressources et sont les mêmes pour tous</w:t>
      </w:r>
    </w:p>
    <w:p w:rsidR="00530486" w:rsidRDefault="00061A2B">
      <w:pPr>
        <w:pBdr>
          <w:bottom w:val="single" w:sz="4" w:space="1" w:color="00000A"/>
        </w:pBdr>
        <w:rPr>
          <w:rFonts w:ascii="Times New Roman" w:hAnsi="Times New Roman"/>
          <w:u w:val="single"/>
        </w:rPr>
      </w:pPr>
      <w:r>
        <w:rPr>
          <w:rFonts w:ascii="Times New Roman" w:hAnsi="Times New Roman"/>
          <w:u w:val="single"/>
        </w:rPr>
        <w:t>Questions</w:t>
      </w:r>
    </w:p>
    <w:p w:rsidR="00530486" w:rsidRDefault="00061A2B">
      <w:pPr>
        <w:pBdr>
          <w:bottom w:val="single" w:sz="4" w:space="1" w:color="00000A"/>
        </w:pBdr>
        <w:rPr>
          <w:rFonts w:ascii="Times New Roman" w:hAnsi="Times New Roman"/>
        </w:rPr>
      </w:pPr>
      <w:r>
        <w:rPr>
          <w:rFonts w:ascii="Times New Roman" w:hAnsi="Times New Roman"/>
        </w:rPr>
        <w:t xml:space="preserve">1) Quel mécanisme </w:t>
      </w:r>
      <w:proofErr w:type="spellStart"/>
      <w:r>
        <w:rPr>
          <w:rFonts w:ascii="Times New Roman" w:hAnsi="Times New Roman"/>
        </w:rPr>
        <w:t>redistributif</w:t>
      </w:r>
      <w:proofErr w:type="spellEnd"/>
      <w:r>
        <w:rPr>
          <w:rFonts w:ascii="Times New Roman" w:hAnsi="Times New Roman"/>
        </w:rPr>
        <w:t xml:space="preserve"> permet de réduire le plus les inégalités économiques ?</w:t>
      </w:r>
    </w:p>
    <w:p w:rsidR="00530486" w:rsidRDefault="00061A2B">
      <w:pPr>
        <w:pBdr>
          <w:bottom w:val="single" w:sz="4" w:space="1" w:color="00000A"/>
        </w:pBdr>
      </w:pPr>
      <w:r>
        <w:rPr>
          <w:rFonts w:ascii="Times New Roman" w:hAnsi="Times New Roman"/>
        </w:rPr>
        <w:t xml:space="preserve">2) Quelle prestation sociale participe le plus à la réduction des inégalités ? </w:t>
      </w:r>
      <w:proofErr w:type="gramStart"/>
      <w:r>
        <w:rPr>
          <w:rFonts w:ascii="Times New Roman" w:hAnsi="Times New Roman"/>
        </w:rPr>
        <w:t>en</w:t>
      </w:r>
      <w:proofErr w:type="gramEnd"/>
      <w:r>
        <w:rPr>
          <w:rFonts w:ascii="Times New Roman" w:hAnsi="Times New Roman"/>
        </w:rPr>
        <w:t xml:space="preserve"> quoi cela est paradoxal ? </w:t>
      </w:r>
    </w:p>
    <w:p w:rsidR="00530486" w:rsidRDefault="00061A2B">
      <w:pPr>
        <w:pBdr>
          <w:bottom w:val="single" w:sz="4" w:space="1" w:color="00000A"/>
        </w:pBdr>
        <w:rPr>
          <w:rFonts w:ascii="Times New Roman" w:hAnsi="Times New Roman"/>
          <w:b/>
          <w:u w:val="single"/>
        </w:rPr>
      </w:pPr>
      <w:r>
        <w:rPr>
          <w:rFonts w:ascii="Times New Roman" w:hAnsi="Times New Roman"/>
          <w:b/>
          <w:u w:val="single"/>
        </w:rPr>
        <w:t>Document 9</w:t>
      </w:r>
    </w:p>
    <w:p w:rsidR="00530486" w:rsidRDefault="00061A2B">
      <w:pPr>
        <w:pBdr>
          <w:bottom w:val="single" w:sz="4" w:space="1" w:color="00000A"/>
        </w:pBdr>
      </w:pPr>
      <w:r>
        <w:rPr>
          <w:noProof/>
        </w:rPr>
        <w:drawing>
          <wp:inline distT="0" distB="0" distL="0" distR="0">
            <wp:extent cx="5648325" cy="2657475"/>
            <wp:effectExtent l="0" t="0" r="0" b="0"/>
            <wp:docPr id="10"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
                    <pic:cNvPicPr>
                      <a:picLocks noChangeAspect="1" noChangeArrowheads="1"/>
                    </pic:cNvPicPr>
                  </pic:nvPicPr>
                  <pic:blipFill>
                    <a:blip r:embed="rId13" cstate="print"/>
                    <a:stretch>
                      <a:fillRect/>
                    </a:stretch>
                  </pic:blipFill>
                  <pic:spPr bwMode="auto">
                    <a:xfrm>
                      <a:off x="0" y="0"/>
                      <a:ext cx="5648325" cy="2657475"/>
                    </a:xfrm>
                    <a:prstGeom prst="rect">
                      <a:avLst/>
                    </a:prstGeom>
                  </pic:spPr>
                </pic:pic>
              </a:graphicData>
            </a:graphic>
          </wp:inline>
        </w:drawing>
      </w:r>
    </w:p>
    <w:p w:rsidR="00530486" w:rsidRDefault="00061A2B">
      <w:pPr>
        <w:pBdr>
          <w:bottom w:val="single" w:sz="4" w:space="1" w:color="00000A"/>
        </w:pBdr>
        <w:rPr>
          <w:rFonts w:ascii="Times New Roman" w:hAnsi="Times New Roman"/>
          <w:u w:val="single"/>
        </w:rPr>
      </w:pPr>
      <w:r>
        <w:rPr>
          <w:rFonts w:ascii="Times New Roman" w:hAnsi="Times New Roman"/>
          <w:u w:val="single"/>
        </w:rPr>
        <w:t xml:space="preserve">Question : </w:t>
      </w:r>
    </w:p>
    <w:p w:rsidR="00530486" w:rsidRDefault="00061A2B">
      <w:pPr>
        <w:pBdr>
          <w:bottom w:val="single" w:sz="4" w:space="1" w:color="00000A"/>
        </w:pBdr>
        <w:rPr>
          <w:rFonts w:ascii="Times New Roman" w:hAnsi="Times New Roman"/>
        </w:rPr>
      </w:pPr>
      <w:r>
        <w:rPr>
          <w:rFonts w:ascii="Times New Roman" w:hAnsi="Times New Roman"/>
        </w:rPr>
        <w:t>1) la fiscalité française est-elle véritablement progressive ? Expliquez votre réponse</w:t>
      </w:r>
    </w:p>
    <w:p w:rsidR="00530486" w:rsidRDefault="00530486">
      <w:pPr>
        <w:pBdr>
          <w:bottom w:val="single" w:sz="4" w:space="1" w:color="00000A"/>
        </w:pBdr>
        <w:rPr>
          <w:rFonts w:ascii="Times New Roman" w:hAnsi="Times New Roman"/>
        </w:rPr>
      </w:pPr>
    </w:p>
    <w:p w:rsidR="00530486" w:rsidRDefault="00061A2B">
      <w:pPr>
        <w:pBdr>
          <w:bottom w:val="single" w:sz="4" w:space="1" w:color="00000A"/>
        </w:pBdr>
        <w:jc w:val="both"/>
        <w:rPr>
          <w:rFonts w:ascii="Times New Roman" w:hAnsi="Times New Roman"/>
          <w:b/>
        </w:rPr>
      </w:pPr>
      <w:r>
        <w:rPr>
          <w:rFonts w:ascii="Times New Roman" w:hAnsi="Times New Roman"/>
          <w:b/>
          <w:u w:val="single"/>
        </w:rPr>
        <w:lastRenderedPageBreak/>
        <w:t>Document 10</w:t>
      </w:r>
      <w:r>
        <w:rPr>
          <w:rFonts w:ascii="Times New Roman" w:hAnsi="Times New Roman"/>
          <w:b/>
        </w:rPr>
        <w:t> </w:t>
      </w:r>
      <w:proofErr w:type="gramStart"/>
      <w:r>
        <w:rPr>
          <w:rFonts w:ascii="Times New Roman" w:hAnsi="Times New Roman"/>
          <w:b/>
        </w:rPr>
        <w:t>:  Le</w:t>
      </w:r>
      <w:proofErr w:type="gramEnd"/>
      <w:r>
        <w:rPr>
          <w:rFonts w:ascii="Times New Roman" w:hAnsi="Times New Roman"/>
          <w:b/>
        </w:rPr>
        <w:t xml:space="preserve"> droit pour lutter contre les discriminations </w:t>
      </w:r>
    </w:p>
    <w:p w:rsidR="00530486" w:rsidRDefault="00061A2B">
      <w:pPr>
        <w:pBdr>
          <w:bottom w:val="single" w:sz="4" w:space="1" w:color="00000A"/>
        </w:pBdr>
        <w:jc w:val="both"/>
        <w:rPr>
          <w:rFonts w:ascii="Times New Roman" w:hAnsi="Times New Roman"/>
        </w:rPr>
      </w:pPr>
      <w:r>
        <w:rPr>
          <w:rFonts w:ascii="Times New Roman" w:hAnsi="Times New Roman"/>
        </w:rPr>
        <w:t xml:space="preserve">La contrainte légale a permis de faire progresser la proportion de femmes dans les conseils d'administration des entreprises, indique le ministère des droits des femmes. Selon une enquête du cabinet </w:t>
      </w:r>
      <w:proofErr w:type="spellStart"/>
      <w:r>
        <w:rPr>
          <w:rFonts w:ascii="Times New Roman" w:hAnsi="Times New Roman"/>
        </w:rPr>
        <w:t>Ethic</w:t>
      </w:r>
      <w:proofErr w:type="spellEnd"/>
      <w:r>
        <w:rPr>
          <w:rFonts w:ascii="Times New Roman" w:hAnsi="Times New Roman"/>
        </w:rPr>
        <w:t xml:space="preserve"> &amp; </w:t>
      </w:r>
      <w:proofErr w:type="spellStart"/>
      <w:r>
        <w:rPr>
          <w:rFonts w:ascii="Times New Roman" w:hAnsi="Times New Roman"/>
        </w:rPr>
        <w:t>Boards</w:t>
      </w:r>
      <w:proofErr w:type="spellEnd"/>
      <w:r>
        <w:rPr>
          <w:rFonts w:ascii="Times New Roman" w:hAnsi="Times New Roman"/>
        </w:rPr>
        <w:t>, les conseils d'administration des entrepr</w:t>
      </w:r>
      <w:r>
        <w:rPr>
          <w:rFonts w:ascii="Times New Roman" w:hAnsi="Times New Roman"/>
        </w:rPr>
        <w:t>ises du CAC 40 comptent aujourd'hui 30,3 % de femmes, soit une hausse de deux points en un an. La part des femmes dans ces instances a triplé en cinq ans, se félicite le ministère, jeudi 5 juin. Les entreprises du SBF 120 connaissent une progression simila</w:t>
      </w:r>
      <w:r>
        <w:rPr>
          <w:rFonts w:ascii="Times New Roman" w:hAnsi="Times New Roman"/>
        </w:rPr>
        <w:t xml:space="preserve">ire : la part des femmes dans leurs conseils d'administration atteint 28,8 %, soit + 3,1 points, souligne cette étude publiée le jour de l'ouverture du Global </w:t>
      </w:r>
      <w:proofErr w:type="spellStart"/>
      <w:r>
        <w:rPr>
          <w:rFonts w:ascii="Times New Roman" w:hAnsi="Times New Roman"/>
        </w:rPr>
        <w:t>Summit</w:t>
      </w:r>
      <w:proofErr w:type="spellEnd"/>
      <w:r>
        <w:rPr>
          <w:rFonts w:ascii="Times New Roman" w:hAnsi="Times New Roman"/>
        </w:rPr>
        <w:t xml:space="preserve"> of </w:t>
      </w:r>
      <w:proofErr w:type="spellStart"/>
      <w:r>
        <w:rPr>
          <w:rFonts w:ascii="Times New Roman" w:hAnsi="Times New Roman"/>
        </w:rPr>
        <w:t>Women</w:t>
      </w:r>
      <w:proofErr w:type="spellEnd"/>
      <w:r>
        <w:rPr>
          <w:rFonts w:ascii="Times New Roman" w:hAnsi="Times New Roman"/>
        </w:rPr>
        <w:t xml:space="preserve">, qui se tient cette année à Paris. Pour la ministre Najat </w:t>
      </w:r>
      <w:proofErr w:type="spellStart"/>
      <w:r>
        <w:rPr>
          <w:rFonts w:ascii="Times New Roman" w:hAnsi="Times New Roman"/>
        </w:rPr>
        <w:t>Vallaud</w:t>
      </w:r>
      <w:proofErr w:type="spellEnd"/>
      <w:r>
        <w:rPr>
          <w:rFonts w:ascii="Times New Roman" w:hAnsi="Times New Roman"/>
        </w:rPr>
        <w:t>-</w:t>
      </w:r>
      <w:proofErr w:type="spellStart"/>
      <w:r>
        <w:rPr>
          <w:rFonts w:ascii="Times New Roman" w:hAnsi="Times New Roman"/>
        </w:rPr>
        <w:t>Belkacem</w:t>
      </w:r>
      <w:proofErr w:type="spellEnd"/>
      <w:r>
        <w:rPr>
          <w:rFonts w:ascii="Times New Roman" w:hAnsi="Times New Roman"/>
        </w:rPr>
        <w:t>, ces r</w:t>
      </w:r>
      <w:r>
        <w:rPr>
          <w:rFonts w:ascii="Times New Roman" w:hAnsi="Times New Roman"/>
        </w:rPr>
        <w:t>ésultats « attestent de la réussite de la stratégie choisie par la France qui a fixé des quotas pour les entreprises de plus de 500 salariés et de plus de 50 millions de chiffre d'affaires ». Cette hausse s'explique en effet par la contrainte imposée par l</w:t>
      </w:r>
      <w:r>
        <w:rPr>
          <w:rFonts w:ascii="Times New Roman" w:hAnsi="Times New Roman"/>
        </w:rPr>
        <w:t xml:space="preserve">a loi Zimmermann-Copé, selon laquelle les conseils d'administration et les conseils de surveillance des entreprises doivent comporter 20 % de femmes en 2014 et 40 % en 2017. Cette loi ne s'applique pas aux comités exécutifs et de direction, où les progrès </w:t>
      </w:r>
      <w:r>
        <w:rPr>
          <w:rFonts w:ascii="Times New Roman" w:hAnsi="Times New Roman"/>
        </w:rPr>
        <w:t>sont nettement moins probants. Ces comités comptent en effet 10,3 % de femmes dans les entreprises du CAC 40 et 12,1 % dans les entreprises du SBF 120 (soit une hausse de respectivement 0,3 et 0,1 point depuis septembre dernier, selon le ministère). Pour a</w:t>
      </w:r>
      <w:r>
        <w:rPr>
          <w:rFonts w:ascii="Times New Roman" w:hAnsi="Times New Roman"/>
        </w:rPr>
        <w:t>ccélérer le mouvement, la ministre souligne que les grandes entreprises ont été « mobilisées ». Selon le ministère, 27 entreprises ont pris des engagements sur la féminisation des postes de direction, notamment des comités exécutifs et des comités de direc</w:t>
      </w:r>
      <w:r>
        <w:rPr>
          <w:rFonts w:ascii="Times New Roman" w:hAnsi="Times New Roman"/>
        </w:rPr>
        <w:t xml:space="preserve">tion et 10 nouvelles entreprises s'associeront prochainement à la démarche. </w:t>
      </w:r>
    </w:p>
    <w:p w:rsidR="00530486" w:rsidRDefault="00061A2B">
      <w:pPr>
        <w:pBdr>
          <w:bottom w:val="single" w:sz="4" w:space="1" w:color="00000A"/>
        </w:pBdr>
        <w:jc w:val="right"/>
        <w:rPr>
          <w:rFonts w:ascii="Times New Roman" w:hAnsi="Times New Roman"/>
          <w:i/>
        </w:rPr>
      </w:pPr>
      <w:r>
        <w:rPr>
          <w:rFonts w:ascii="Times New Roman" w:hAnsi="Times New Roman"/>
          <w:i/>
        </w:rPr>
        <w:t xml:space="preserve">« La part des femmes dans les CA du CAC 40 dépasse 30 % », Le Monde.fr, le 5 juin 2014 </w:t>
      </w:r>
    </w:p>
    <w:p w:rsidR="00530486" w:rsidRDefault="00061A2B">
      <w:pPr>
        <w:pBdr>
          <w:bottom w:val="single" w:sz="4" w:space="1" w:color="00000A"/>
        </w:pBdr>
        <w:jc w:val="both"/>
        <w:rPr>
          <w:rFonts w:ascii="Times New Roman" w:hAnsi="Times New Roman"/>
          <w:u w:val="single"/>
        </w:rPr>
      </w:pPr>
      <w:r>
        <w:rPr>
          <w:rFonts w:ascii="Times New Roman" w:hAnsi="Times New Roman"/>
          <w:u w:val="single"/>
        </w:rPr>
        <w:t xml:space="preserve">Questions : </w:t>
      </w:r>
    </w:p>
    <w:p w:rsidR="00530486" w:rsidRDefault="00061A2B">
      <w:pPr>
        <w:pBdr>
          <w:bottom w:val="single" w:sz="4" w:space="1" w:color="00000A"/>
        </w:pBdr>
        <w:jc w:val="both"/>
        <w:rPr>
          <w:rFonts w:ascii="Times New Roman" w:hAnsi="Times New Roman"/>
        </w:rPr>
      </w:pPr>
      <w:r>
        <w:rPr>
          <w:rFonts w:ascii="Times New Roman" w:hAnsi="Times New Roman"/>
        </w:rPr>
        <w:t xml:space="preserve">1) Quelle mesure </w:t>
      </w:r>
      <w:proofErr w:type="gramStart"/>
      <w:r>
        <w:rPr>
          <w:rFonts w:ascii="Times New Roman" w:hAnsi="Times New Roman"/>
        </w:rPr>
        <w:t>a</w:t>
      </w:r>
      <w:proofErr w:type="gramEnd"/>
      <w:r>
        <w:rPr>
          <w:rFonts w:ascii="Times New Roman" w:hAnsi="Times New Roman"/>
        </w:rPr>
        <w:t xml:space="preserve"> mise en place la France pour lutter contre la discriminatio</w:t>
      </w:r>
      <w:r>
        <w:rPr>
          <w:rFonts w:ascii="Times New Roman" w:hAnsi="Times New Roman"/>
        </w:rPr>
        <w:t>n des femmes ?</w:t>
      </w:r>
    </w:p>
    <w:p w:rsidR="00530486" w:rsidRDefault="00061A2B">
      <w:pPr>
        <w:pBdr>
          <w:bottom w:val="single" w:sz="4" w:space="1" w:color="00000A"/>
        </w:pBdr>
        <w:jc w:val="both"/>
        <w:rPr>
          <w:rFonts w:ascii="Times New Roman" w:hAnsi="Times New Roman"/>
        </w:rPr>
      </w:pPr>
      <w:r>
        <w:rPr>
          <w:rFonts w:ascii="Times New Roman" w:hAnsi="Times New Roman"/>
        </w:rPr>
        <w:t xml:space="preserve">2) Comment a évolué la parité depuis la mise en place de loi ? </w:t>
      </w:r>
    </w:p>
    <w:p w:rsidR="00530486" w:rsidRDefault="00530486">
      <w:pPr>
        <w:pBdr>
          <w:bottom w:val="single" w:sz="4" w:space="1" w:color="00000A"/>
        </w:pBdr>
        <w:jc w:val="both"/>
        <w:rPr>
          <w:rFonts w:ascii="Times New Roman" w:hAnsi="Times New Roman"/>
        </w:rPr>
      </w:pPr>
    </w:p>
    <w:p w:rsidR="00530486" w:rsidRDefault="00061A2B">
      <w:pPr>
        <w:pBdr>
          <w:bottom w:val="single" w:sz="4" w:space="1" w:color="00000A"/>
        </w:pBdr>
        <w:jc w:val="both"/>
        <w:rPr>
          <w:rFonts w:ascii="Times New Roman" w:hAnsi="Times New Roman"/>
          <w:b/>
        </w:rPr>
      </w:pPr>
      <w:r>
        <w:rPr>
          <w:rFonts w:ascii="Times New Roman" w:hAnsi="Times New Roman"/>
          <w:b/>
          <w:u w:val="single"/>
        </w:rPr>
        <w:t>Document 11</w:t>
      </w:r>
      <w:r>
        <w:rPr>
          <w:rFonts w:ascii="Times New Roman" w:hAnsi="Times New Roman"/>
          <w:b/>
        </w:rPr>
        <w:t xml:space="preserve"> : Créer des inégalités de traitement pour lutter contre les inégalités des chances</w:t>
      </w:r>
    </w:p>
    <w:p w:rsidR="00530486" w:rsidRDefault="00061A2B">
      <w:pPr>
        <w:pBdr>
          <w:bottom w:val="single" w:sz="4" w:space="1" w:color="00000A"/>
        </w:pBdr>
        <w:jc w:val="both"/>
        <w:rPr>
          <w:rFonts w:ascii="Times New Roman" w:hAnsi="Times New Roman"/>
        </w:rPr>
      </w:pPr>
      <w:r>
        <w:rPr>
          <w:rFonts w:ascii="Times New Roman" w:hAnsi="Times New Roman"/>
        </w:rPr>
        <w:t xml:space="preserve"> En France, une certaine forme de discrimination positive a déjà été appliquée. E</w:t>
      </w:r>
      <w:r>
        <w:rPr>
          <w:rFonts w:ascii="Times New Roman" w:hAnsi="Times New Roman"/>
        </w:rPr>
        <w:t>lle ne repose pas sur le principe théorique d'égalité des chances mais elle relève d'une démarche générale de redistribution des richesses face à l'échec des principes d'égalité dans certains domaines. Elle s'intègre par exemple dans la politique de la vil</w:t>
      </w:r>
      <w:r>
        <w:rPr>
          <w:rFonts w:ascii="Times New Roman" w:hAnsi="Times New Roman"/>
        </w:rPr>
        <w:t xml:space="preserve">le, via les zones d'éducation prioritaires, ou dans celle de l'emploi, via la mise en place de contrats aidés à destination de publics spécifiques comme les chômeurs de longue durée [...]. Elle a aussi récemment été développée dans l'éducation supérieure. </w:t>
      </w:r>
      <w:r>
        <w:rPr>
          <w:rFonts w:ascii="Times New Roman" w:hAnsi="Times New Roman"/>
        </w:rPr>
        <w:t>En effet, l'Institut d'Etudes Politiques de Paris a innové au début des années 2000 en facilitant l'entrée d'étudiants scolarisés dans les lycées de banlieues défavorisées [...]. A chaque fois, ces politiques préférentielles s'adressent à des groupes socia</w:t>
      </w:r>
      <w:r>
        <w:rPr>
          <w:rFonts w:ascii="Times New Roman" w:hAnsi="Times New Roman"/>
        </w:rPr>
        <w:t>ux définis sur la base de critères socioéconomiques (niveau de revenus, situation vis-à- vis de l'emploi, zone d'habitation). Il n'existe pas en France de programmes d'actions positives visant à favoriser un groupe d'individus, défini sur la base d'un crit</w:t>
      </w:r>
      <w:r>
        <w:rPr>
          <w:rFonts w:ascii="Times New Roman" w:hAnsi="Times New Roman"/>
        </w:rPr>
        <w:t xml:space="preserve">ère inné comme le sexe ou l'origine ethnique, à l'exception de la loi sur la parité politique votée en 2000. </w:t>
      </w:r>
    </w:p>
    <w:p w:rsidR="00530486" w:rsidRDefault="00061A2B">
      <w:pPr>
        <w:pBdr>
          <w:bottom w:val="single" w:sz="4" w:space="1" w:color="00000A"/>
        </w:pBdr>
        <w:jc w:val="right"/>
        <w:rPr>
          <w:rFonts w:ascii="Times New Roman" w:hAnsi="Times New Roman"/>
          <w:i/>
        </w:rPr>
      </w:pPr>
      <w:r>
        <w:rPr>
          <w:rFonts w:ascii="Times New Roman" w:hAnsi="Times New Roman"/>
          <w:i/>
        </w:rPr>
        <w:t xml:space="preserve">Source : Hélène </w:t>
      </w:r>
      <w:proofErr w:type="spellStart"/>
      <w:r>
        <w:rPr>
          <w:rFonts w:ascii="Times New Roman" w:hAnsi="Times New Roman"/>
          <w:i/>
        </w:rPr>
        <w:t>Périvier</w:t>
      </w:r>
      <w:proofErr w:type="spellEnd"/>
      <w:r>
        <w:rPr>
          <w:rFonts w:ascii="Times New Roman" w:hAnsi="Times New Roman"/>
          <w:i/>
        </w:rPr>
        <w:t>, « Panorama des différents types de lutte contre les inégalités », Cahiers français, n° 351, juillet-août 2012</w:t>
      </w:r>
    </w:p>
    <w:p w:rsidR="00530486" w:rsidRDefault="00061A2B">
      <w:pPr>
        <w:pBdr>
          <w:bottom w:val="single" w:sz="4" w:space="1" w:color="00000A"/>
        </w:pBdr>
        <w:jc w:val="center"/>
      </w:pPr>
      <w:r>
        <w:rPr>
          <w:noProof/>
        </w:rPr>
        <w:drawing>
          <wp:inline distT="0" distB="0" distL="0" distR="0">
            <wp:extent cx="4851400" cy="2352675"/>
            <wp:effectExtent l="0" t="0" r="0" b="0"/>
            <wp:docPr id="11"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7"/>
                    <pic:cNvPicPr>
                      <a:picLocks noChangeAspect="1" noChangeArrowheads="1"/>
                    </pic:cNvPicPr>
                  </pic:nvPicPr>
                  <pic:blipFill>
                    <a:blip r:embed="rId14" cstate="print"/>
                    <a:stretch>
                      <a:fillRect/>
                    </a:stretch>
                  </pic:blipFill>
                  <pic:spPr bwMode="auto">
                    <a:xfrm>
                      <a:off x="0" y="0"/>
                      <a:ext cx="4851400" cy="2352675"/>
                    </a:xfrm>
                    <a:prstGeom prst="rect">
                      <a:avLst/>
                    </a:prstGeom>
                  </pic:spPr>
                </pic:pic>
              </a:graphicData>
            </a:graphic>
          </wp:inline>
        </w:drawing>
      </w:r>
    </w:p>
    <w:p w:rsidR="00530486" w:rsidRDefault="00530486">
      <w:pPr>
        <w:pBdr>
          <w:bottom w:val="single" w:sz="4" w:space="1" w:color="00000A"/>
        </w:pBdr>
        <w:jc w:val="both"/>
        <w:rPr>
          <w:rFonts w:ascii="Times New Roman" w:hAnsi="Times New Roman"/>
          <w:u w:val="single"/>
        </w:rPr>
      </w:pPr>
    </w:p>
    <w:p w:rsidR="00530486" w:rsidRDefault="00530486">
      <w:pPr>
        <w:pBdr>
          <w:bottom w:val="single" w:sz="4" w:space="1" w:color="00000A"/>
        </w:pBdr>
        <w:jc w:val="both"/>
        <w:rPr>
          <w:rFonts w:ascii="Times New Roman" w:hAnsi="Times New Roman"/>
          <w:u w:val="single"/>
        </w:rPr>
      </w:pPr>
    </w:p>
    <w:p w:rsidR="00530486" w:rsidRDefault="00061A2B">
      <w:pPr>
        <w:pBdr>
          <w:bottom w:val="single" w:sz="4" w:space="1" w:color="00000A"/>
        </w:pBdr>
        <w:jc w:val="both"/>
        <w:rPr>
          <w:rFonts w:ascii="Times New Roman" w:hAnsi="Times New Roman"/>
          <w:u w:val="single"/>
        </w:rPr>
      </w:pPr>
      <w:r>
        <w:rPr>
          <w:rFonts w:ascii="Times New Roman" w:hAnsi="Times New Roman"/>
          <w:u w:val="single"/>
        </w:rPr>
        <w:t>Questions :</w:t>
      </w:r>
    </w:p>
    <w:p w:rsidR="00530486" w:rsidRDefault="00061A2B">
      <w:pPr>
        <w:pBdr>
          <w:bottom w:val="single" w:sz="4" w:space="1" w:color="00000A"/>
        </w:pBdr>
        <w:jc w:val="both"/>
        <w:rPr>
          <w:rFonts w:ascii="Times New Roman" w:hAnsi="Times New Roman"/>
        </w:rPr>
      </w:pPr>
      <w:r>
        <w:rPr>
          <w:rFonts w:ascii="Times New Roman" w:hAnsi="Times New Roman"/>
        </w:rPr>
        <w:lastRenderedPageBreak/>
        <w:t xml:space="preserve"> 1) Quels sont les avantages accordés aux établissements classés dans des zones d’éducation prioritaire ?</w:t>
      </w:r>
    </w:p>
    <w:p w:rsidR="00530486" w:rsidRDefault="00061A2B">
      <w:pPr>
        <w:pBdr>
          <w:bottom w:val="single" w:sz="4" w:space="1" w:color="00000A"/>
        </w:pBdr>
        <w:jc w:val="both"/>
        <w:rPr>
          <w:rFonts w:ascii="Times New Roman" w:hAnsi="Times New Roman"/>
        </w:rPr>
      </w:pPr>
      <w:r>
        <w:rPr>
          <w:rFonts w:ascii="Times New Roman" w:hAnsi="Times New Roman"/>
        </w:rPr>
        <w:t>2) Sur quel critère repose les politiques de discriminations positives en France ?</w:t>
      </w:r>
    </w:p>
    <w:p w:rsidR="00530486" w:rsidRDefault="00061A2B">
      <w:pPr>
        <w:pBdr>
          <w:bottom w:val="single" w:sz="4" w:space="1" w:color="00000A"/>
        </w:pBdr>
        <w:jc w:val="both"/>
        <w:rPr>
          <w:rFonts w:ascii="Times New Roman" w:hAnsi="Times New Roman"/>
        </w:rPr>
      </w:pPr>
      <w:r>
        <w:rPr>
          <w:rFonts w:ascii="Times New Roman" w:hAnsi="Times New Roman"/>
        </w:rPr>
        <w:t xml:space="preserve">3) Qu’est-ce que la loi sur la parité politique (2000) </w:t>
      </w:r>
      <w:r>
        <w:rPr>
          <w:rFonts w:ascii="Times New Roman" w:hAnsi="Times New Roman"/>
        </w:rPr>
        <w:t>? Comment a évolué la représentation des femmes parmi les députés depuis 2000 ?</w:t>
      </w:r>
    </w:p>
    <w:p w:rsidR="00530486" w:rsidRDefault="00061A2B">
      <w:pPr>
        <w:pBdr>
          <w:bottom w:val="single" w:sz="4" w:space="1" w:color="00000A"/>
        </w:pBdr>
        <w:jc w:val="both"/>
        <w:rPr>
          <w:rFonts w:ascii="Times New Roman" w:hAnsi="Times New Roman"/>
        </w:rPr>
      </w:pPr>
      <w:r>
        <w:rPr>
          <w:rFonts w:ascii="Times New Roman" w:hAnsi="Times New Roman"/>
        </w:rPr>
        <w:t xml:space="preserve">5) En quoi cette loi se distingue-t-elle des actions de type ZEP ? </w:t>
      </w:r>
    </w:p>
    <w:p w:rsidR="00530486" w:rsidRDefault="00061A2B">
      <w:pPr>
        <w:pBdr>
          <w:bottom w:val="single" w:sz="4" w:space="1" w:color="00000A"/>
        </w:pBdr>
        <w:jc w:val="both"/>
        <w:rPr>
          <w:rFonts w:ascii="Times New Roman" w:hAnsi="Times New Roman"/>
        </w:rPr>
      </w:pPr>
      <w:r>
        <w:rPr>
          <w:rFonts w:ascii="Times New Roman" w:hAnsi="Times New Roman"/>
        </w:rPr>
        <w:t>6) Quels sont les avantages attendus par les inégalités créées par la « discrimination positive à la françai</w:t>
      </w:r>
      <w:r>
        <w:rPr>
          <w:rFonts w:ascii="Times New Roman" w:hAnsi="Times New Roman"/>
        </w:rPr>
        <w:t xml:space="preserve">se » ? </w:t>
      </w:r>
    </w:p>
    <w:p w:rsidR="00530486" w:rsidRDefault="00530486">
      <w:pPr>
        <w:pBdr>
          <w:bottom w:val="single" w:sz="4" w:space="1" w:color="00000A"/>
        </w:pBdr>
        <w:rPr>
          <w:b/>
          <w:sz w:val="28"/>
        </w:rPr>
      </w:pPr>
    </w:p>
    <w:p w:rsidR="00530486" w:rsidRDefault="00530486">
      <w:pPr>
        <w:pBdr>
          <w:bottom w:val="single" w:sz="4" w:space="1" w:color="00000A"/>
        </w:pBdr>
        <w:jc w:val="center"/>
        <w:rPr>
          <w:b/>
          <w:sz w:val="28"/>
        </w:rPr>
      </w:pPr>
      <w:bookmarkStart w:id="36" w:name="_GoBack"/>
      <w:bookmarkEnd w:id="36"/>
    </w:p>
    <w:p w:rsidR="00530486" w:rsidRDefault="00530486">
      <w:pPr>
        <w:pBdr>
          <w:bottom w:val="single" w:sz="4" w:space="1" w:color="00000A"/>
        </w:pBdr>
        <w:jc w:val="center"/>
        <w:rPr>
          <w:b/>
          <w:sz w:val="28"/>
        </w:rPr>
      </w:pPr>
    </w:p>
    <w:p w:rsidR="00530486" w:rsidRDefault="00061A2B">
      <w:pPr>
        <w:pBdr>
          <w:bottom w:val="single" w:sz="4" w:space="1" w:color="00000A"/>
        </w:pBdr>
        <w:jc w:val="center"/>
        <w:rPr>
          <w:b/>
          <w:sz w:val="28"/>
        </w:rPr>
      </w:pPr>
      <w:r>
        <w:rPr>
          <w:b/>
          <w:sz w:val="28"/>
        </w:rPr>
        <w:t>Tâche finale</w:t>
      </w:r>
    </w:p>
    <w:p w:rsidR="00530486" w:rsidRDefault="00061A2B">
      <w:pPr>
        <w:jc w:val="both"/>
      </w:pPr>
      <w:r>
        <w:t>Réalisation d’une EC 1 </w:t>
      </w:r>
    </w:p>
    <w:p w:rsidR="00530486" w:rsidRDefault="00530486">
      <w:pPr>
        <w:jc w:val="both"/>
      </w:pPr>
    </w:p>
    <w:p w:rsidR="00530486" w:rsidRDefault="00061A2B">
      <w:pPr>
        <w:jc w:val="center"/>
        <w:rPr>
          <w:b/>
          <w:i/>
        </w:rPr>
      </w:pPr>
      <w:r>
        <w:rPr>
          <w:b/>
          <w:i/>
        </w:rPr>
        <w:t>« Distinguez logique d'assurance et logique d'assistance en matière de protection sociale »</w:t>
      </w:r>
    </w:p>
    <w:p w:rsidR="00530486" w:rsidRDefault="00530486">
      <w:pPr>
        <w:jc w:val="both"/>
        <w:rPr>
          <w:i/>
        </w:rPr>
      </w:pPr>
    </w:p>
    <w:p w:rsidR="00530486" w:rsidRDefault="00530486">
      <w:pPr>
        <w:jc w:val="both"/>
      </w:pPr>
    </w:p>
    <w:sectPr w:rsidR="00530486" w:rsidSect="00530486">
      <w:pgSz w:w="11906" w:h="16838"/>
      <w:pgMar w:top="720" w:right="720" w:bottom="720" w:left="720" w:header="0" w:footer="0" w:gutter="0"/>
      <w:cols w:space="720"/>
      <w:formProt w:val="0"/>
      <w:docGrid w:linePitch="360" w:charSpace="-6145"/>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iberation Sans">
    <w:altName w:val="Arial"/>
    <w:charset w:val="00"/>
    <w:family w:val="swiss"/>
    <w:pitch w:val="variable"/>
    <w:sig w:usb0="00000000" w:usb1="00000000" w:usb2="00000000" w:usb3="00000000" w:csb0="00000000" w:csb1="00000000"/>
  </w:font>
  <w:font w:name="Microsoft YaHei">
    <w:panose1 w:val="020B0503020204020204"/>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angal">
    <w:panose1 w:val="02040503050203030202"/>
    <w:charset w:val="01"/>
    <w:family w:val="roman"/>
    <w:notTrueType/>
    <w:pitch w:val="variable"/>
    <w:sig w:usb0="00002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1B65300"/>
    <w:multiLevelType w:val="multilevel"/>
    <w:tmpl w:val="E68AF3A0"/>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633F2BA1"/>
    <w:multiLevelType w:val="multilevel"/>
    <w:tmpl w:val="EB2A3C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67EB6A5E"/>
    <w:multiLevelType w:val="multilevel"/>
    <w:tmpl w:val="DC8EF20E"/>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useFELayout/>
  </w:compat>
  <w:rsids>
    <w:rsidRoot w:val="00530486"/>
    <w:rsid w:val="00061A2B"/>
    <w:rsid w:val="00530486"/>
    <w:rsid w:val="00750EF3"/>
    <w:rsid w:val="00FC56D7"/>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Mincho" w:hAnsi="Cambria" w:cs="Times New Roman"/>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0486"/>
    <w:pPr>
      <w:suppressAutoHyphens/>
    </w:pPr>
    <w:rPr>
      <w:color w:val="00000A"/>
      <w:sz w:val="24"/>
    </w:rPr>
  </w:style>
  <w:style w:type="paragraph" w:styleId="Titre1">
    <w:name w:val="heading 1"/>
    <w:basedOn w:val="Normal"/>
    <w:link w:val="Titre1Car"/>
    <w:uiPriority w:val="9"/>
    <w:qFormat/>
    <w:rsid w:val="00E66119"/>
    <w:pPr>
      <w:outlineLvl w:val="0"/>
    </w:pPr>
  </w:style>
  <w:style w:type="paragraph" w:styleId="Titre2">
    <w:name w:val="heading 2"/>
    <w:basedOn w:val="Normal"/>
    <w:next w:val="Normal"/>
    <w:link w:val="Titre2Car"/>
    <w:uiPriority w:val="9"/>
    <w:semiHidden/>
    <w:unhideWhenUsed/>
    <w:qFormat/>
    <w:rsid w:val="00A86679"/>
    <w:pPr>
      <w:keepNext/>
      <w:keepLines/>
      <w:spacing w:before="40"/>
      <w:outlineLvl w:val="1"/>
    </w:pPr>
    <w:rPr>
      <w:rFonts w:ascii="Calibri" w:eastAsia="MS Gothic" w:hAnsi="Calibri"/>
      <w:color w:val="365F91"/>
      <w:sz w:val="26"/>
      <w:szCs w:val="26"/>
    </w:rPr>
  </w:style>
  <w:style w:type="paragraph" w:styleId="Titre3">
    <w:name w:val="heading 3"/>
    <w:basedOn w:val="Titreprincipal"/>
    <w:rsid w:val="00530486"/>
    <w:pPr>
      <w:outlineLvl w:val="2"/>
    </w:p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extedebullesCar">
    <w:name w:val="Texte de bulles Car"/>
    <w:basedOn w:val="Policepardfaut"/>
    <w:link w:val="Textedebulles"/>
    <w:uiPriority w:val="99"/>
    <w:semiHidden/>
    <w:qFormat/>
    <w:rsid w:val="006D1ADF"/>
    <w:rPr>
      <w:rFonts w:ascii="Lucida Grande" w:hAnsi="Lucida Grande"/>
      <w:sz w:val="18"/>
      <w:szCs w:val="18"/>
    </w:rPr>
  </w:style>
  <w:style w:type="character" w:customStyle="1" w:styleId="LienInternet">
    <w:name w:val="Lien Internet"/>
    <w:basedOn w:val="Policepardfaut"/>
    <w:unhideWhenUsed/>
    <w:rsid w:val="00323B1E"/>
    <w:rPr>
      <w:color w:val="0000FF"/>
      <w:u w:val="single"/>
    </w:rPr>
  </w:style>
  <w:style w:type="character" w:customStyle="1" w:styleId="Titre1Car">
    <w:name w:val="Titre 1 Car"/>
    <w:basedOn w:val="Policepardfaut"/>
    <w:link w:val="Titre1"/>
    <w:uiPriority w:val="9"/>
    <w:qFormat/>
    <w:rsid w:val="00E66119"/>
    <w:rPr>
      <w:rFonts w:ascii="Times New Roman" w:eastAsia="Times New Roman" w:hAnsi="Times New Roman" w:cs="Times New Roman"/>
      <w:b/>
      <w:bCs/>
      <w:sz w:val="48"/>
      <w:szCs w:val="48"/>
    </w:rPr>
  </w:style>
  <w:style w:type="character" w:customStyle="1" w:styleId="En-tteCar">
    <w:name w:val="En-tête Car"/>
    <w:basedOn w:val="Policepardfaut"/>
    <w:qFormat/>
    <w:rsid w:val="004D7C93"/>
    <w:rPr>
      <w:rFonts w:ascii="Times New Roman" w:eastAsia="Times New Roman" w:hAnsi="Times New Roman" w:cs="Arial"/>
      <w:szCs w:val="22"/>
    </w:rPr>
  </w:style>
  <w:style w:type="character" w:customStyle="1" w:styleId="Cours11QCar">
    <w:name w:val="Cours1.1Q Car"/>
    <w:basedOn w:val="Policepardfaut"/>
    <w:link w:val="Cours11Q"/>
    <w:qFormat/>
    <w:rsid w:val="004D7C93"/>
    <w:rPr>
      <w:rFonts w:ascii="Times New Roman" w:eastAsia="Times New Roman" w:hAnsi="Times New Roman" w:cs="Times New Roman"/>
      <w:b/>
      <w:color w:val="993366"/>
    </w:rPr>
  </w:style>
  <w:style w:type="character" w:customStyle="1" w:styleId="Titre2Car">
    <w:name w:val="Titre 2 Car"/>
    <w:basedOn w:val="Policepardfaut"/>
    <w:link w:val="Titre2"/>
    <w:uiPriority w:val="9"/>
    <w:semiHidden/>
    <w:qFormat/>
    <w:rsid w:val="00A86679"/>
    <w:rPr>
      <w:rFonts w:ascii="Calibri" w:eastAsia="MS Gothic" w:hAnsi="Calibri"/>
      <w:color w:val="365F91"/>
      <w:sz w:val="26"/>
      <w:szCs w:val="26"/>
    </w:rPr>
  </w:style>
  <w:style w:type="character" w:customStyle="1" w:styleId="ListLabel1">
    <w:name w:val="ListLabel 1"/>
    <w:qFormat/>
    <w:rsid w:val="00530486"/>
    <w:rPr>
      <w:rFonts w:eastAsia="MS Mincho"/>
    </w:rPr>
  </w:style>
  <w:style w:type="character" w:customStyle="1" w:styleId="ListLabel2">
    <w:name w:val="ListLabel 2"/>
    <w:qFormat/>
    <w:rsid w:val="00530486"/>
    <w:rPr>
      <w:rFonts w:eastAsia="MS Mincho" w:cs="Times"/>
    </w:rPr>
  </w:style>
  <w:style w:type="character" w:customStyle="1" w:styleId="ListLabel3">
    <w:name w:val="ListLabel 3"/>
    <w:qFormat/>
    <w:rsid w:val="00530486"/>
    <w:rPr>
      <w:rFonts w:eastAsia="MS Mincho"/>
    </w:rPr>
  </w:style>
  <w:style w:type="character" w:customStyle="1" w:styleId="ListLabel4">
    <w:name w:val="ListLabel 4"/>
    <w:qFormat/>
    <w:rsid w:val="00530486"/>
    <w:rPr>
      <w:color w:val="00000A"/>
    </w:rPr>
  </w:style>
  <w:style w:type="character" w:customStyle="1" w:styleId="ListLabel5">
    <w:name w:val="ListLabel 5"/>
    <w:qFormat/>
    <w:rsid w:val="00530486"/>
    <w:rPr>
      <w:color w:val="000000"/>
    </w:rPr>
  </w:style>
  <w:style w:type="character" w:styleId="lev">
    <w:name w:val="Strong"/>
    <w:basedOn w:val="Policepardfaut"/>
    <w:uiPriority w:val="22"/>
    <w:qFormat/>
    <w:rsid w:val="00CB5602"/>
    <w:rPr>
      <w:b/>
      <w:bCs/>
    </w:rPr>
  </w:style>
  <w:style w:type="character" w:customStyle="1" w:styleId="titre-bleu">
    <w:name w:val="titre-bleu"/>
    <w:basedOn w:val="Policepardfaut"/>
    <w:qFormat/>
    <w:rsid w:val="00CB5602"/>
  </w:style>
  <w:style w:type="character" w:customStyle="1" w:styleId="txt">
    <w:name w:val="txt"/>
    <w:basedOn w:val="Policepardfaut"/>
    <w:qFormat/>
    <w:rsid w:val="00CB5602"/>
  </w:style>
  <w:style w:type="character" w:customStyle="1" w:styleId="ListLabel6">
    <w:name w:val="ListLabel 6"/>
    <w:qFormat/>
    <w:rsid w:val="00530486"/>
    <w:rPr>
      <w:rFonts w:cs="Courier New"/>
    </w:rPr>
  </w:style>
  <w:style w:type="paragraph" w:styleId="Titre">
    <w:name w:val="Title"/>
    <w:basedOn w:val="Normal"/>
    <w:next w:val="Corpsdetexte"/>
    <w:qFormat/>
    <w:rsid w:val="00530486"/>
    <w:pPr>
      <w:keepNext/>
      <w:spacing w:before="240" w:after="120"/>
    </w:pPr>
    <w:rPr>
      <w:rFonts w:ascii="Liberation Sans" w:eastAsia="Microsoft YaHei" w:hAnsi="Liberation Sans" w:cs="Mangal"/>
      <w:sz w:val="28"/>
      <w:szCs w:val="28"/>
    </w:rPr>
  </w:style>
  <w:style w:type="paragraph" w:styleId="Corpsdetexte">
    <w:name w:val="Body Text"/>
    <w:basedOn w:val="Normal"/>
    <w:rsid w:val="00530486"/>
    <w:pPr>
      <w:spacing w:after="140" w:line="288" w:lineRule="auto"/>
    </w:pPr>
  </w:style>
  <w:style w:type="paragraph" w:styleId="Liste">
    <w:name w:val="List"/>
    <w:basedOn w:val="Corpsdetexte"/>
    <w:rsid w:val="00530486"/>
    <w:rPr>
      <w:rFonts w:cs="Arial Unicode MS"/>
    </w:rPr>
  </w:style>
  <w:style w:type="paragraph" w:styleId="Lgende">
    <w:name w:val="caption"/>
    <w:basedOn w:val="Normal"/>
    <w:qFormat/>
    <w:rsid w:val="00530486"/>
    <w:pPr>
      <w:suppressLineNumbers/>
      <w:spacing w:before="120" w:after="120"/>
    </w:pPr>
    <w:rPr>
      <w:rFonts w:cs="Arial Unicode MS"/>
      <w:i/>
      <w:iCs/>
    </w:rPr>
  </w:style>
  <w:style w:type="paragraph" w:customStyle="1" w:styleId="Index">
    <w:name w:val="Index"/>
    <w:basedOn w:val="Normal"/>
    <w:qFormat/>
    <w:rsid w:val="00530486"/>
    <w:pPr>
      <w:suppressLineNumbers/>
    </w:pPr>
    <w:rPr>
      <w:rFonts w:cs="Arial Unicode MS"/>
    </w:rPr>
  </w:style>
  <w:style w:type="paragraph" w:customStyle="1" w:styleId="Titreprincipal">
    <w:name w:val="Titre principal"/>
    <w:basedOn w:val="Normal"/>
    <w:rsid w:val="00530486"/>
    <w:pPr>
      <w:keepNext/>
      <w:spacing w:before="240" w:after="120"/>
    </w:pPr>
    <w:rPr>
      <w:rFonts w:ascii="Liberation Sans" w:eastAsia="Microsoft YaHei" w:hAnsi="Liberation Sans" w:cs="Arial Unicode MS"/>
      <w:sz w:val="28"/>
      <w:szCs w:val="28"/>
    </w:rPr>
  </w:style>
  <w:style w:type="paragraph" w:styleId="Paragraphedeliste">
    <w:name w:val="List Paragraph"/>
    <w:basedOn w:val="Normal"/>
    <w:uiPriority w:val="34"/>
    <w:qFormat/>
    <w:rsid w:val="006D1ADF"/>
    <w:pPr>
      <w:ind w:left="720"/>
      <w:contextualSpacing/>
    </w:pPr>
  </w:style>
  <w:style w:type="paragraph" w:styleId="Textedebulles">
    <w:name w:val="Balloon Text"/>
    <w:basedOn w:val="Normal"/>
    <w:link w:val="TextedebullesCar"/>
    <w:uiPriority w:val="99"/>
    <w:semiHidden/>
    <w:unhideWhenUsed/>
    <w:qFormat/>
    <w:rsid w:val="006D1ADF"/>
    <w:rPr>
      <w:rFonts w:ascii="Lucida Grande" w:hAnsi="Lucida Grande"/>
      <w:sz w:val="18"/>
      <w:szCs w:val="18"/>
    </w:rPr>
  </w:style>
  <w:style w:type="paragraph" w:styleId="Sansinterligne">
    <w:name w:val="No Spacing"/>
    <w:uiPriority w:val="1"/>
    <w:qFormat/>
    <w:rsid w:val="0090646C"/>
    <w:pPr>
      <w:suppressAutoHyphens/>
    </w:pPr>
    <w:rPr>
      <w:color w:val="00000A"/>
      <w:sz w:val="24"/>
    </w:rPr>
  </w:style>
  <w:style w:type="paragraph" w:styleId="NormalWeb">
    <w:name w:val="Normal (Web)"/>
    <w:basedOn w:val="Normal"/>
    <w:uiPriority w:val="99"/>
    <w:unhideWhenUsed/>
    <w:qFormat/>
    <w:rsid w:val="00FB114D"/>
    <w:pPr>
      <w:spacing w:after="280"/>
    </w:pPr>
    <w:rPr>
      <w:rFonts w:ascii="Times" w:hAnsi="Times"/>
      <w:sz w:val="20"/>
      <w:szCs w:val="20"/>
    </w:rPr>
  </w:style>
  <w:style w:type="paragraph" w:styleId="En-tte">
    <w:name w:val="header"/>
    <w:basedOn w:val="Normal"/>
    <w:unhideWhenUsed/>
    <w:rsid w:val="004D7C93"/>
    <w:pPr>
      <w:widowControl w:val="0"/>
      <w:tabs>
        <w:tab w:val="center" w:pos="4536"/>
        <w:tab w:val="right" w:pos="9072"/>
      </w:tabs>
      <w:jc w:val="both"/>
    </w:pPr>
    <w:rPr>
      <w:rFonts w:ascii="Times New Roman" w:eastAsia="Times New Roman" w:hAnsi="Times New Roman" w:cs="Arial"/>
      <w:szCs w:val="22"/>
    </w:rPr>
  </w:style>
  <w:style w:type="paragraph" w:customStyle="1" w:styleId="cours11Texte">
    <w:name w:val="cours1.1Texte"/>
    <w:basedOn w:val="Normal"/>
    <w:qFormat/>
    <w:rsid w:val="004D7C93"/>
    <w:pPr>
      <w:ind w:left="567"/>
      <w:jc w:val="both"/>
    </w:pPr>
    <w:rPr>
      <w:rFonts w:ascii="Times New Roman" w:eastAsia="Times New Roman" w:hAnsi="Times New Roman"/>
    </w:rPr>
  </w:style>
  <w:style w:type="paragraph" w:customStyle="1" w:styleId="Cours11Q">
    <w:name w:val="Cours1.1Q"/>
    <w:basedOn w:val="Normal"/>
    <w:link w:val="Cours11QCar"/>
    <w:qFormat/>
    <w:rsid w:val="004D7C93"/>
    <w:pPr>
      <w:ind w:left="567"/>
      <w:jc w:val="both"/>
    </w:pPr>
    <w:rPr>
      <w:rFonts w:ascii="Times New Roman" w:eastAsia="Times New Roman" w:hAnsi="Times New Roman"/>
      <w:b/>
      <w:color w:val="993366"/>
    </w:rPr>
  </w:style>
  <w:style w:type="paragraph" w:styleId="Citation">
    <w:name w:val="Quote"/>
    <w:basedOn w:val="Normal"/>
    <w:qFormat/>
    <w:rsid w:val="00530486"/>
  </w:style>
  <w:style w:type="paragraph" w:styleId="Sous-titre">
    <w:name w:val="Subtitle"/>
    <w:basedOn w:val="Titreprincipal"/>
    <w:rsid w:val="00530486"/>
  </w:style>
  <w:style w:type="paragraph" w:customStyle="1" w:styleId="Contenudecadre">
    <w:name w:val="Contenu de cadre"/>
    <w:basedOn w:val="Normal"/>
    <w:qFormat/>
    <w:rsid w:val="00530486"/>
  </w:style>
  <w:style w:type="paragraph" w:customStyle="1" w:styleId="Quotations">
    <w:name w:val="Quotations"/>
    <w:basedOn w:val="Normal"/>
    <w:qFormat/>
    <w:rsid w:val="00530486"/>
  </w:style>
  <w:style w:type="table" w:styleId="Grilledutableau">
    <w:name w:val="Table Grid"/>
    <w:basedOn w:val="TableauNormal"/>
    <w:rsid w:val="00FD48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javascript:ouvrir(11)"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E65724-9864-4E69-AB6C-909B5BD4B9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2260</Words>
  <Characters>12430</Characters>
  <Application>Microsoft Office Word</Application>
  <DocSecurity>0</DocSecurity>
  <Lines>103</Lines>
  <Paragraphs>29</Paragraphs>
  <ScaleCrop>false</ScaleCrop>
  <Company/>
  <LinksUpToDate>false</LinksUpToDate>
  <CharactersWithSpaces>14661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 O</dc:creator>
  <cp:lastModifiedBy>BRUNO</cp:lastModifiedBy>
  <cp:revision>2</cp:revision>
  <cp:lastPrinted>2016-03-26T09:53:00Z</cp:lastPrinted>
  <dcterms:created xsi:type="dcterms:W3CDTF">2017-05-02T07:54:00Z</dcterms:created>
  <dcterms:modified xsi:type="dcterms:W3CDTF">2017-05-02T07:54:00Z</dcterms:modified>
  <dc:language>fr-FR</dc:language>
</cp:coreProperties>
</file>