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DFB" w:rsidRDefault="00BD495F">
      <w:pPr>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sz w:val="32"/>
          <w:szCs w:val="32"/>
        </w:rPr>
      </w:pPr>
      <w:r>
        <w:rPr>
          <w:rFonts w:ascii="Times New Roman" w:hAnsi="Times New Roman" w:cs="Times New Roman"/>
          <w:b/>
          <w:sz w:val="32"/>
          <w:szCs w:val="32"/>
        </w:rPr>
        <w:t xml:space="preserve"> Chapitre 5 : La croissance économique est-elle compatible avec la </w:t>
      </w:r>
    </w:p>
    <w:p w:rsidR="000F2DFB" w:rsidRDefault="00BD495F">
      <w:pPr>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sz w:val="32"/>
          <w:szCs w:val="32"/>
        </w:rPr>
      </w:pPr>
      <w:proofErr w:type="gramStart"/>
      <w:r>
        <w:rPr>
          <w:rFonts w:ascii="Times New Roman" w:hAnsi="Times New Roman" w:cs="Times New Roman"/>
          <w:b/>
          <w:sz w:val="32"/>
          <w:szCs w:val="32"/>
        </w:rPr>
        <w:t>préservation</w:t>
      </w:r>
      <w:proofErr w:type="gramEnd"/>
      <w:r>
        <w:rPr>
          <w:rFonts w:ascii="Times New Roman" w:hAnsi="Times New Roman" w:cs="Times New Roman"/>
          <w:b/>
          <w:sz w:val="32"/>
          <w:szCs w:val="32"/>
        </w:rPr>
        <w:t xml:space="preserve"> de l’environnement ?</w:t>
      </w:r>
    </w:p>
    <w:p w:rsidR="000F2DFB" w:rsidRDefault="00BD495F">
      <w:pPr>
        <w:pBdr>
          <w:top w:val="single" w:sz="4" w:space="1" w:color="00000A"/>
          <w:left w:val="single" w:sz="4" w:space="4" w:color="00000A"/>
          <w:bottom w:val="single" w:sz="4" w:space="1" w:color="00000A"/>
          <w:right w:val="single" w:sz="4" w:space="4" w:color="00000A"/>
        </w:pBdr>
        <w:jc w:val="center"/>
        <w:rPr>
          <w:rFonts w:ascii="Times New Roman" w:hAnsi="Times New Roman" w:cs="Times New Roman"/>
          <w:b/>
          <w:sz w:val="32"/>
          <w:szCs w:val="32"/>
        </w:rPr>
      </w:pPr>
      <w:r>
        <w:rPr>
          <w:rFonts w:ascii="Times New Roman" w:hAnsi="Times New Roman" w:cs="Times New Roman"/>
          <w:b/>
          <w:sz w:val="32"/>
          <w:szCs w:val="32"/>
        </w:rPr>
        <w:t xml:space="preserve">Partie 2 : La </w:t>
      </w:r>
      <w:proofErr w:type="spellStart"/>
      <w:r>
        <w:rPr>
          <w:rFonts w:ascii="Times New Roman" w:hAnsi="Times New Roman" w:cs="Times New Roman"/>
          <w:b/>
          <w:sz w:val="32"/>
          <w:szCs w:val="32"/>
        </w:rPr>
        <w:t>soutenabilité</w:t>
      </w:r>
      <w:proofErr w:type="spellEnd"/>
      <w:r>
        <w:rPr>
          <w:rFonts w:ascii="Times New Roman" w:hAnsi="Times New Roman" w:cs="Times New Roman"/>
          <w:b/>
          <w:sz w:val="32"/>
          <w:szCs w:val="32"/>
        </w:rPr>
        <w:t xml:space="preserve"> de la croissance</w:t>
      </w:r>
    </w:p>
    <w:p w:rsidR="000F2DFB" w:rsidRDefault="000F2DFB">
      <w:pPr>
        <w:pStyle w:val="Sansinterligne"/>
        <w:rPr>
          <w:rFonts w:cs="Times New Roman"/>
        </w:rPr>
      </w:pPr>
    </w:p>
    <w:p w:rsidR="000F2DFB" w:rsidRDefault="00BD495F">
      <w:pPr>
        <w:pStyle w:val="Sansinterligne"/>
        <w:pBdr>
          <w:bottom w:val="single" w:sz="4" w:space="1" w:color="00000A"/>
        </w:pBdr>
        <w:jc w:val="center"/>
        <w:rPr>
          <w:rFonts w:cs="Times New Roman"/>
          <w:b/>
          <w:sz w:val="28"/>
        </w:rPr>
      </w:pPr>
      <w:r>
        <w:rPr>
          <w:rFonts w:cs="Times New Roman"/>
          <w:b/>
          <w:sz w:val="28"/>
        </w:rPr>
        <w:t>Vérification des connaissances</w:t>
      </w:r>
    </w:p>
    <w:p w:rsidR="000F2DFB" w:rsidRDefault="000F2DFB">
      <w:pPr>
        <w:rPr>
          <w:b/>
        </w:rPr>
      </w:pPr>
    </w:p>
    <w:p w:rsidR="000F2DFB" w:rsidRDefault="00BD495F">
      <w:pPr>
        <w:rPr>
          <w:b/>
        </w:rPr>
      </w:pPr>
      <w:r>
        <w:rPr>
          <w:b/>
          <w:u w:val="single"/>
        </w:rPr>
        <w:t xml:space="preserve">Exercice </w:t>
      </w:r>
      <w:r>
        <w:rPr>
          <w:b/>
        </w:rPr>
        <w:t>: Vrai ou faux ?</w:t>
      </w:r>
    </w:p>
    <w:tbl>
      <w:tblPr>
        <w:tblStyle w:val="Grilledutableau"/>
        <w:tblW w:w="10450" w:type="dxa"/>
        <w:tblLook w:val="04A0"/>
      </w:tblPr>
      <w:tblGrid>
        <w:gridCol w:w="9633"/>
        <w:gridCol w:w="426"/>
        <w:gridCol w:w="391"/>
      </w:tblGrid>
      <w:tr w:rsidR="000F2DFB">
        <w:tc>
          <w:tcPr>
            <w:tcW w:w="9633" w:type="dxa"/>
            <w:tcBorders>
              <w:top w:val="nil"/>
              <w:left w:val="nil"/>
              <w:bottom w:val="nil"/>
              <w:right w:val="nil"/>
            </w:tcBorders>
            <w:shd w:val="clear" w:color="auto" w:fill="auto"/>
          </w:tcPr>
          <w:p w:rsidR="000F2DFB" w:rsidRDefault="000F2DFB"/>
        </w:tc>
        <w:tc>
          <w:tcPr>
            <w:tcW w:w="426" w:type="dxa"/>
            <w:tcBorders>
              <w:top w:val="nil"/>
              <w:left w:val="nil"/>
              <w:bottom w:val="nil"/>
              <w:right w:val="nil"/>
            </w:tcBorders>
            <w:shd w:val="clear" w:color="auto" w:fill="auto"/>
          </w:tcPr>
          <w:p w:rsidR="000F2DFB" w:rsidRDefault="00BD495F">
            <w:r>
              <w:t>V</w:t>
            </w:r>
          </w:p>
        </w:tc>
        <w:tc>
          <w:tcPr>
            <w:tcW w:w="391" w:type="dxa"/>
            <w:tcBorders>
              <w:top w:val="nil"/>
              <w:left w:val="nil"/>
              <w:bottom w:val="nil"/>
              <w:right w:val="nil"/>
            </w:tcBorders>
            <w:shd w:val="clear" w:color="auto" w:fill="auto"/>
          </w:tcPr>
          <w:p w:rsidR="000F2DFB" w:rsidRDefault="00BD495F">
            <w:r>
              <w:t>F</w:t>
            </w:r>
          </w:p>
        </w:tc>
      </w:tr>
      <w:tr w:rsidR="000F2DFB">
        <w:trPr>
          <w:trHeight w:val="3447"/>
        </w:trPr>
        <w:tc>
          <w:tcPr>
            <w:tcW w:w="9633" w:type="dxa"/>
            <w:tcBorders>
              <w:top w:val="nil"/>
              <w:left w:val="nil"/>
              <w:bottom w:val="nil"/>
              <w:right w:val="nil"/>
            </w:tcBorders>
            <w:shd w:val="clear" w:color="auto" w:fill="auto"/>
          </w:tcPr>
          <w:p w:rsidR="000F2DFB" w:rsidRDefault="00BD495F">
            <w:r>
              <w:t>- La notion de développement durable repose</w:t>
            </w:r>
            <w:r>
              <w:t xml:space="preserve"> sur 2 dimensions</w:t>
            </w:r>
          </w:p>
          <w:p w:rsidR="000F2DFB" w:rsidRDefault="00BD495F">
            <w:r>
              <w:t>- La notion de substituabilité signifie être remplaçable par…</w:t>
            </w:r>
          </w:p>
          <w:p w:rsidR="000F2DFB" w:rsidRDefault="00BD495F">
            <w:r>
              <w:t xml:space="preserve">- Les partisans de la </w:t>
            </w:r>
            <w:proofErr w:type="spellStart"/>
            <w:r>
              <w:t>soutenabilité</w:t>
            </w:r>
            <w:proofErr w:type="spellEnd"/>
            <w:r>
              <w:t xml:space="preserve"> faible considèrent le capital naturel comme étant à pr</w:t>
            </w:r>
            <w:r>
              <w:t>é</w:t>
            </w:r>
            <w:r>
              <w:t>server.</w:t>
            </w:r>
          </w:p>
          <w:p w:rsidR="000F2DFB" w:rsidRDefault="00BD495F">
            <w:r>
              <w:t xml:space="preserve">- Les partisans de la </w:t>
            </w:r>
            <w:proofErr w:type="spellStart"/>
            <w:r>
              <w:t>soutenabilité</w:t>
            </w:r>
            <w:proofErr w:type="spellEnd"/>
            <w:r>
              <w:t xml:space="preserve"> faible considèrent</w:t>
            </w:r>
            <w:r>
              <w:t xml:space="preserve"> le capital naturel comme étant un cap</w:t>
            </w:r>
            <w:r>
              <w:t>i</w:t>
            </w:r>
            <w:r>
              <w:t>tal comme un autre.</w:t>
            </w:r>
          </w:p>
          <w:p w:rsidR="000F2DFB" w:rsidRDefault="00BD495F">
            <w:r>
              <w:t xml:space="preserve">- Les partisans de la </w:t>
            </w:r>
            <w:proofErr w:type="spellStart"/>
            <w:r>
              <w:t>soutenabilité</w:t>
            </w:r>
            <w:proofErr w:type="spellEnd"/>
            <w:r>
              <w:t xml:space="preserve"> faible considèrent le capital naturel peut être remplacé par le capital physique</w:t>
            </w:r>
          </w:p>
          <w:p w:rsidR="000F2DFB" w:rsidRDefault="00BD495F">
            <w:r>
              <w:t xml:space="preserve">- Les partisans de la </w:t>
            </w:r>
            <w:proofErr w:type="spellStart"/>
            <w:r>
              <w:t>soutenabilité</w:t>
            </w:r>
            <w:proofErr w:type="spellEnd"/>
            <w:r>
              <w:t xml:space="preserve"> forte ne s’intéressent qu’au volume du capit</w:t>
            </w:r>
            <w:r>
              <w:t>al global</w:t>
            </w:r>
          </w:p>
        </w:tc>
        <w:tc>
          <w:tcPr>
            <w:tcW w:w="426" w:type="dxa"/>
            <w:tcBorders>
              <w:top w:val="nil"/>
              <w:left w:val="nil"/>
              <w:bottom w:val="nil"/>
              <w:right w:val="nil"/>
            </w:tcBorders>
            <w:shd w:val="clear" w:color="auto" w:fill="auto"/>
          </w:tcPr>
          <w:p w:rsidR="000F2DFB" w:rsidRDefault="00BD495F">
            <w:r>
              <w:t>□</w:t>
            </w:r>
          </w:p>
          <w:p w:rsidR="000F2DFB" w:rsidRDefault="00BD495F">
            <w:r>
              <w:t>□</w:t>
            </w:r>
          </w:p>
          <w:p w:rsidR="000F2DFB" w:rsidRDefault="00BD495F">
            <w:r>
              <w:t>□</w:t>
            </w:r>
          </w:p>
          <w:p w:rsidR="000F2DFB" w:rsidRDefault="00BD495F">
            <w:r>
              <w:t>□</w:t>
            </w:r>
          </w:p>
          <w:p w:rsidR="000F2DFB" w:rsidRDefault="00BD495F">
            <w:r>
              <w:t>□</w:t>
            </w:r>
          </w:p>
          <w:p w:rsidR="000F2DFB" w:rsidRDefault="00BD495F">
            <w:r>
              <w:t>□</w:t>
            </w:r>
          </w:p>
          <w:p w:rsidR="000F2DFB" w:rsidRDefault="000F2DFB"/>
          <w:p w:rsidR="000F2DFB" w:rsidRDefault="00BD495F">
            <w:r>
              <w:t>□</w:t>
            </w:r>
          </w:p>
          <w:p w:rsidR="000F2DFB" w:rsidRDefault="00BD495F">
            <w:r>
              <w:t>□</w:t>
            </w:r>
          </w:p>
          <w:p w:rsidR="000F2DFB" w:rsidRDefault="000F2DFB"/>
        </w:tc>
        <w:tc>
          <w:tcPr>
            <w:tcW w:w="391" w:type="dxa"/>
            <w:tcBorders>
              <w:top w:val="nil"/>
              <w:left w:val="nil"/>
              <w:bottom w:val="nil"/>
              <w:right w:val="nil"/>
            </w:tcBorders>
            <w:shd w:val="clear" w:color="auto" w:fill="auto"/>
          </w:tcPr>
          <w:p w:rsidR="000F2DFB" w:rsidRDefault="00BD495F">
            <w:r>
              <w:t>□</w:t>
            </w:r>
          </w:p>
          <w:p w:rsidR="000F2DFB" w:rsidRDefault="00BD495F">
            <w:r>
              <w:t>□</w:t>
            </w:r>
          </w:p>
          <w:p w:rsidR="000F2DFB" w:rsidRDefault="00BD495F">
            <w:r>
              <w:t>□</w:t>
            </w:r>
          </w:p>
          <w:p w:rsidR="000F2DFB" w:rsidRDefault="00BD495F">
            <w:r>
              <w:t>□</w:t>
            </w:r>
          </w:p>
          <w:p w:rsidR="000F2DFB" w:rsidRDefault="00BD495F">
            <w:r>
              <w:t>□</w:t>
            </w:r>
          </w:p>
          <w:p w:rsidR="000F2DFB" w:rsidRDefault="00BD495F">
            <w:r>
              <w:t>□</w:t>
            </w:r>
          </w:p>
          <w:p w:rsidR="000F2DFB" w:rsidRDefault="000F2DFB"/>
          <w:p w:rsidR="000F2DFB" w:rsidRDefault="00BD495F">
            <w:r>
              <w:t>□</w:t>
            </w:r>
          </w:p>
          <w:p w:rsidR="000F2DFB" w:rsidRDefault="00BD495F">
            <w:r>
              <w:t>□</w:t>
            </w:r>
          </w:p>
        </w:tc>
      </w:tr>
    </w:tbl>
    <w:p w:rsidR="000F2DFB" w:rsidRDefault="00BD495F">
      <w:pPr>
        <w:pBdr>
          <w:bottom w:val="single" w:sz="4" w:space="1" w:color="00000A"/>
        </w:pBdr>
        <w:jc w:val="center"/>
        <w:rPr>
          <w:b/>
          <w:sz w:val="28"/>
        </w:rPr>
      </w:pPr>
      <w:r>
        <w:rPr>
          <w:b/>
          <w:sz w:val="28"/>
        </w:rPr>
        <w:t>Étude de documents</w:t>
      </w:r>
    </w:p>
    <w:p w:rsidR="000F2DFB" w:rsidRDefault="000F2DFB">
      <w:pPr>
        <w:rPr>
          <w:b/>
        </w:rPr>
      </w:pPr>
    </w:p>
    <w:p w:rsidR="000F2DFB" w:rsidRDefault="00BD495F">
      <w:pPr>
        <w:jc w:val="both"/>
        <w:rPr>
          <w:b/>
          <w:color w:val="000000"/>
        </w:rPr>
      </w:pPr>
      <w:r>
        <w:rPr>
          <w:b/>
          <w:color w:val="000000"/>
          <w:u w:val="single"/>
        </w:rPr>
        <w:t>Document 1</w:t>
      </w:r>
      <w:r>
        <w:rPr>
          <w:b/>
          <w:color w:val="000000"/>
        </w:rPr>
        <w:t> : Un œuf sans poule</w:t>
      </w:r>
    </w:p>
    <w:p w:rsidR="000F2DFB" w:rsidRDefault="000F2DFB"/>
    <w:p w:rsidR="000F2DFB" w:rsidRDefault="00BD495F">
      <w:pPr>
        <w:ind w:firstLine="708"/>
        <w:jc w:val="both"/>
      </w:pPr>
      <w:r>
        <w:t xml:space="preserve">Faire une omelette sans casser des œufs, c'est désormais possible. Outre-Atlantique, une start-up développe un produit censé se substituer à l'œuf. La </w:t>
      </w:r>
      <w:r>
        <w:t>préparation à base de plantes, notamment de sorgho reproduit goût, texture, couleur et surtout propriétés émulsifiantes de l'aliment. De quoi co</w:t>
      </w:r>
      <w:r>
        <w:t>n</w:t>
      </w:r>
      <w:r>
        <w:t>cocter une mayonnaise par exemple.</w:t>
      </w:r>
    </w:p>
    <w:p w:rsidR="000F2DFB" w:rsidRDefault="00BD495F">
      <w:pPr>
        <w:ind w:firstLine="708"/>
        <w:jc w:val="both"/>
      </w:pPr>
      <w:r>
        <w:t>Décrit depuis plusieurs mois </w:t>
      </w:r>
      <w:hyperlink r:id="rId6" w:anchor="axzz2myJZZ56G" w:history="1">
        <w:r>
          <w:rPr>
            <w:rStyle w:val="LienInternet"/>
          </w:rPr>
          <w:t>par les médias américains</w:t>
        </w:r>
      </w:hyperlink>
      <w:r>
        <w:t> comme une révolution, le produit a d</w:t>
      </w:r>
      <w:r>
        <w:t>é</w:t>
      </w:r>
      <w:r>
        <w:t>sormais dépassé le stade du prototype. Depuis début décembre "Just Mayo", condiment utilisant cette préparati</w:t>
      </w:r>
      <w:r>
        <w:t>on de synthèse est désormais vendu à grande échelle dans tout le pays par la chaîne de s</w:t>
      </w:r>
      <w:r>
        <w:t>u</w:t>
      </w:r>
      <w:r>
        <w:t xml:space="preserve">permarchés </w:t>
      </w:r>
      <w:proofErr w:type="spellStart"/>
      <w:r>
        <w:t>Whole</w:t>
      </w:r>
      <w:proofErr w:type="spellEnd"/>
      <w:r>
        <w:t xml:space="preserve"> </w:t>
      </w:r>
      <w:proofErr w:type="spellStart"/>
      <w:r>
        <w:t>Foods</w:t>
      </w:r>
      <w:proofErr w:type="spellEnd"/>
      <w:r>
        <w:t xml:space="preserve"> </w:t>
      </w:r>
      <w:proofErr w:type="spellStart"/>
      <w:r>
        <w:t>Markets</w:t>
      </w:r>
      <w:proofErr w:type="spellEnd"/>
      <w:r>
        <w:t>.</w:t>
      </w:r>
    </w:p>
    <w:p w:rsidR="000F2DFB" w:rsidRDefault="000F2DFB">
      <w:pPr>
        <w:jc w:val="both"/>
        <w:rPr>
          <w:b/>
        </w:rPr>
      </w:pPr>
    </w:p>
    <w:p w:rsidR="000F2DFB" w:rsidRDefault="00BD495F">
      <w:pPr>
        <w:jc w:val="both"/>
        <w:rPr>
          <w:b/>
        </w:rPr>
      </w:pPr>
      <w:r>
        <w:rPr>
          <w:b/>
        </w:rPr>
        <w:t>Dans le panier de Bill Gates</w:t>
      </w:r>
    </w:p>
    <w:p w:rsidR="000F2DFB" w:rsidRDefault="00BD495F">
      <w:pPr>
        <w:ind w:firstLine="708"/>
        <w:jc w:val="both"/>
      </w:pPr>
      <w:r>
        <w:t xml:space="preserve">Cet "œuf" sans poule sort des laboratoires de Hampton Creek Food, start-up créée en 2012, a fait son nid </w:t>
      </w:r>
      <w:r>
        <w:t xml:space="preserve">à San Francisco, à deux pas de la </w:t>
      </w:r>
      <w:proofErr w:type="spellStart"/>
      <w:r>
        <w:t>Silicon</w:t>
      </w:r>
      <w:proofErr w:type="spellEnd"/>
      <w:r>
        <w:t xml:space="preserve"> </w:t>
      </w:r>
      <w:proofErr w:type="spellStart"/>
      <w:r>
        <w:t>Valley</w:t>
      </w:r>
      <w:proofErr w:type="spellEnd"/>
      <w:r>
        <w:t xml:space="preserve">. Les plus grandes huiles de la </w:t>
      </w:r>
      <w:proofErr w:type="spellStart"/>
      <w:r>
        <w:t>high</w:t>
      </w:r>
      <w:proofErr w:type="spellEnd"/>
      <w:r>
        <w:t xml:space="preserve"> </w:t>
      </w:r>
      <w:proofErr w:type="spellStart"/>
      <w:r>
        <w:t>tech</w:t>
      </w:r>
      <w:proofErr w:type="spellEnd"/>
      <w:r>
        <w:t xml:space="preserve"> se sont penchées sur son berceau. Bill Gates lui-même l'a mise dans son panier des technologies qui vont "</w:t>
      </w:r>
      <w:hyperlink r:id="rId7">
        <w:proofErr w:type="gramStart"/>
        <w:r>
          <w:rPr>
            <w:rStyle w:val="LienInternet"/>
          </w:rPr>
          <w:t>réinventer</w:t>
        </w:r>
        <w:proofErr w:type="gramEnd"/>
        <w:r>
          <w:rPr>
            <w:rStyle w:val="LienInternet"/>
          </w:rPr>
          <w:t xml:space="preserve"> l'avenir de la nourriture</w:t>
        </w:r>
      </w:hyperlink>
      <w:r>
        <w:t xml:space="preserve">", avec la viande de synthèse. A côté du fondateur de Microsoft, celui de </w:t>
      </w:r>
      <w:proofErr w:type="spellStart"/>
      <w:r>
        <w:t>PayPal</w:t>
      </w:r>
      <w:proofErr w:type="spellEnd"/>
      <w:r>
        <w:t xml:space="preserve">, Peter </w:t>
      </w:r>
      <w:proofErr w:type="spellStart"/>
      <w:r>
        <w:t>Thiel</w:t>
      </w:r>
      <w:proofErr w:type="spellEnd"/>
      <w:r>
        <w:t xml:space="preserve"> a lui aussi parié sur elle. Avec d'autres investisseurs, il a déjà misé </w:t>
      </w:r>
      <w:hyperlink r:id="rId8">
        <w:r>
          <w:rPr>
            <w:rStyle w:val="LienInternet"/>
          </w:rPr>
          <w:t xml:space="preserve">plus de 3 millions de dollars en juin sur l'œuf sans poule via son fonds d'investissement </w:t>
        </w:r>
        <w:proofErr w:type="spellStart"/>
        <w:r>
          <w:rPr>
            <w:rStyle w:val="LienInternet"/>
          </w:rPr>
          <w:t>Founders</w:t>
        </w:r>
        <w:proofErr w:type="spellEnd"/>
        <w:r>
          <w:rPr>
            <w:rStyle w:val="LienInternet"/>
          </w:rPr>
          <w:t xml:space="preserve"> </w:t>
        </w:r>
        <w:proofErr w:type="spellStart"/>
        <w:r>
          <w:rPr>
            <w:rStyle w:val="LienInternet"/>
          </w:rPr>
          <w:t>Fund</w:t>
        </w:r>
        <w:proofErr w:type="spellEnd"/>
      </w:hyperlink>
      <w:r>
        <w:t>.</w:t>
      </w:r>
    </w:p>
    <w:p w:rsidR="000F2DFB" w:rsidRDefault="000F2DFB">
      <w:pPr>
        <w:jc w:val="both"/>
        <w:rPr>
          <w:b/>
        </w:rPr>
      </w:pPr>
    </w:p>
    <w:p w:rsidR="000F2DFB" w:rsidRDefault="00BD495F">
      <w:pPr>
        <w:jc w:val="both"/>
        <w:rPr>
          <w:b/>
        </w:rPr>
      </w:pPr>
      <w:r>
        <w:rPr>
          <w:b/>
        </w:rPr>
        <w:t>Pas de poule et pas de cholestérol</w:t>
      </w:r>
    </w:p>
    <w:p w:rsidR="000F2DFB" w:rsidRDefault="00BD495F">
      <w:pPr>
        <w:ind w:firstLine="708"/>
        <w:jc w:val="both"/>
      </w:pPr>
      <w:r>
        <w:t>Une fantaisie pour scientifique désœuvré ?  Pas seulement. La produc</w:t>
      </w:r>
      <w:r>
        <w:t xml:space="preserve">tion d'œuf de synthèse, en se passant de poule, réduirait du même coup la consommation d'énergie et la pollution générée par l'élevage de volaille. Le fondateur de Hampton Creek Food, Josh </w:t>
      </w:r>
      <w:proofErr w:type="spellStart"/>
      <w:r>
        <w:t>Tetrick</w:t>
      </w:r>
      <w:proofErr w:type="spellEnd"/>
      <w:r>
        <w:t>, 33 ans, a par le passé travaillé dans le domaine du dévelo</w:t>
      </w:r>
      <w:r>
        <w:t xml:space="preserve">ppement durable et se revendique végétarien. Le nom qu'il a choisi pour son entreprise évoque davantage des produits naturels originaires de la Nouvelle Angleterre qu'une start-up californienne. Et ce n'est certainement pas un hasard si c'est </w:t>
      </w:r>
      <w:proofErr w:type="spellStart"/>
      <w:r>
        <w:t>Whole</w:t>
      </w:r>
      <w:proofErr w:type="spellEnd"/>
      <w:r>
        <w:t xml:space="preserve"> </w:t>
      </w:r>
      <w:proofErr w:type="spellStart"/>
      <w:r>
        <w:t>Foods</w:t>
      </w:r>
      <w:proofErr w:type="spellEnd"/>
      <w:r>
        <w:t xml:space="preserve"> </w:t>
      </w:r>
      <w:proofErr w:type="spellStart"/>
      <w:r>
        <w:t>M</w:t>
      </w:r>
      <w:r>
        <w:t>arkets</w:t>
      </w:r>
      <w:proofErr w:type="spellEnd"/>
      <w:r>
        <w:t xml:space="preserve"> qui a été choisi pour commercialiser ce produit : la chaîne est spécialisée dans les aliments biologiques…</w:t>
      </w:r>
    </w:p>
    <w:p w:rsidR="000F2DFB" w:rsidRDefault="00BD495F">
      <w:pPr>
        <w:jc w:val="both"/>
      </w:pPr>
      <w:r>
        <w:t>Ensuite, le produit d'origine végétal est garanti sans cholestérol. Un argument fort dans un pays qui compte la plus grande proportion d'obèse</w:t>
      </w:r>
      <w:r>
        <w:t>s au monde.</w:t>
      </w:r>
    </w:p>
    <w:p w:rsidR="000F2DFB" w:rsidRDefault="00BD495F">
      <w:pPr>
        <w:jc w:val="right"/>
        <w:rPr>
          <w:sz w:val="22"/>
        </w:rPr>
      </w:pPr>
      <w:bookmarkStart w:id="0" w:name="_GoBack"/>
      <w:bookmarkEnd w:id="0"/>
      <w:r>
        <w:rPr>
          <w:sz w:val="22"/>
        </w:rPr>
        <w:t xml:space="preserve">Source : latribune.fr </w:t>
      </w:r>
    </w:p>
    <w:p w:rsidR="000F2DFB" w:rsidRDefault="00BD495F">
      <w:pPr>
        <w:pStyle w:val="Paragraphedeliste"/>
        <w:numPr>
          <w:ilvl w:val="0"/>
          <w:numId w:val="1"/>
        </w:numPr>
        <w:jc w:val="both"/>
      </w:pPr>
      <w:r>
        <w:lastRenderedPageBreak/>
        <w:t>Quel est le principe de cet « œuf sans poule » ?</w:t>
      </w:r>
    </w:p>
    <w:p w:rsidR="000F2DFB" w:rsidRDefault="00BD495F">
      <w:pPr>
        <w:pStyle w:val="Paragraphedeliste"/>
        <w:numPr>
          <w:ilvl w:val="0"/>
          <w:numId w:val="1"/>
        </w:numPr>
        <w:jc w:val="both"/>
      </w:pPr>
      <w:r>
        <w:t>Quel est l’intérêt pour l’environnement de développer ce type de produit ?</w:t>
      </w:r>
    </w:p>
    <w:p w:rsidR="000F2DFB" w:rsidRDefault="00BD495F">
      <w:pPr>
        <w:pStyle w:val="Paragraphedeliste"/>
        <w:numPr>
          <w:ilvl w:val="0"/>
          <w:numId w:val="1"/>
        </w:numPr>
        <w:jc w:val="both"/>
      </w:pPr>
      <w:r>
        <w:t xml:space="preserve">En quoi cet exemple peut-il se rapprocher de la théorie de la </w:t>
      </w:r>
      <w:proofErr w:type="spellStart"/>
      <w:r>
        <w:t>soutenabilité</w:t>
      </w:r>
      <w:proofErr w:type="spellEnd"/>
      <w:r>
        <w:t xml:space="preserve"> faible ?</w:t>
      </w:r>
    </w:p>
    <w:p w:rsidR="000F2DFB" w:rsidRDefault="000F2DFB">
      <w:pPr>
        <w:ind w:left="360"/>
        <w:jc w:val="both"/>
      </w:pPr>
    </w:p>
    <w:p w:rsidR="000F2DFB" w:rsidRDefault="000F2DFB">
      <w:pPr>
        <w:jc w:val="both"/>
      </w:pPr>
    </w:p>
    <w:p w:rsidR="000F2DFB" w:rsidRDefault="00BD495F">
      <w:pPr>
        <w:jc w:val="both"/>
        <w:rPr>
          <w:b/>
        </w:rPr>
      </w:pPr>
      <w:r>
        <w:rPr>
          <w:b/>
          <w:u w:val="single"/>
        </w:rPr>
        <w:t>Document 3</w:t>
      </w:r>
      <w:r>
        <w:t xml:space="preserve"> : </w:t>
      </w:r>
      <w:r>
        <w:rPr>
          <w:b/>
        </w:rPr>
        <w:t>L'épuisement des ressources en eau</w:t>
      </w:r>
    </w:p>
    <w:p w:rsidR="000F2DFB" w:rsidRDefault="000F2DFB">
      <w:pPr>
        <w:ind w:firstLine="708"/>
        <w:jc w:val="both"/>
      </w:pPr>
    </w:p>
    <w:p w:rsidR="000F2DFB" w:rsidRDefault="00BD495F">
      <w:pPr>
        <w:ind w:firstLine="708"/>
        <w:jc w:val="both"/>
      </w:pPr>
      <w:r>
        <w:t>Conséquence de cette pression sur l'eau, l'épuisement des nappes phréatiques. Alors que 2 mi</w:t>
      </w:r>
      <w:r>
        <w:t>l</w:t>
      </w:r>
      <w:r>
        <w:t>liards d'hommes, soit un tiers de la </w:t>
      </w:r>
      <w:hyperlink r:id="rId9">
        <w:r>
          <w:rPr>
            <w:rStyle w:val="LienInternet"/>
          </w:rPr>
          <w:t>population</w:t>
        </w:r>
      </w:hyperlink>
      <w:r>
        <w:t xml:space="preserve"> mondiale, dépendent des </w:t>
      </w:r>
      <w:r>
        <w:t>eaux souterraines, le niveau des nappes phréatiques est devenu extrêmement préoccupant dans certaines parties du globe, comme l'</w:t>
      </w:r>
      <w:hyperlink r:id="rId10">
        <w:r>
          <w:rPr>
            <w:rStyle w:val="LienInternet"/>
          </w:rPr>
          <w:t>Inde</w:t>
        </w:r>
      </w:hyperlink>
      <w:r>
        <w:t>, la </w:t>
      </w:r>
      <w:hyperlink r:id="rId11">
        <w:r>
          <w:rPr>
            <w:rStyle w:val="LienInternet"/>
          </w:rPr>
          <w:t>Chine</w:t>
        </w:r>
      </w:hyperlink>
      <w:r>
        <w:t> ou la péninsule Arabiq</w:t>
      </w:r>
      <w:r>
        <w:t>ue, ainsi que dans certaines régions de </w:t>
      </w:r>
      <w:hyperlink r:id="rId12">
        <w:r>
          <w:rPr>
            <w:rStyle w:val="LienInternet"/>
          </w:rPr>
          <w:t>Russie</w:t>
        </w:r>
      </w:hyperlink>
      <w:r>
        <w:t> ou encore dans l'ouest des Etats-Unis.</w:t>
      </w:r>
    </w:p>
    <w:p w:rsidR="000F2DFB" w:rsidRDefault="00BD495F">
      <w:pPr>
        <w:ind w:firstLine="708"/>
        <w:jc w:val="both"/>
      </w:pPr>
      <w:r>
        <w:t>A moins de </w:t>
      </w:r>
      <w:hyperlink r:id="rId13">
        <w:r>
          <w:rPr>
            <w:rStyle w:val="LienInternet"/>
          </w:rPr>
          <w:t>reconsidérer</w:t>
        </w:r>
      </w:hyperlink>
      <w:r>
        <w:t> entièrement</w:t>
      </w:r>
      <w:r>
        <w:t xml:space="preserve"> notre manière de </w:t>
      </w:r>
      <w:hyperlink r:id="rId14">
        <w:r>
          <w:rPr>
            <w:rStyle w:val="LienInternet"/>
          </w:rPr>
          <w:t>gérer</w:t>
        </w:r>
      </w:hyperlink>
      <w:r>
        <w:t> la ressource en eau, les do</w:t>
      </w:r>
      <w:r>
        <w:t>m</w:t>
      </w:r>
      <w:r>
        <w:t>mages seront énormes. Selon </w:t>
      </w:r>
      <w:hyperlink r:id="rId15">
        <w:r>
          <w:rPr>
            <w:rStyle w:val="LienInternet"/>
          </w:rPr>
          <w:t>les experts</w:t>
        </w:r>
      </w:hyperlink>
      <w:r>
        <w:t>, 5 milliards de personnes pourr</w:t>
      </w:r>
      <w:r>
        <w:t>aient ne pas </w:t>
      </w:r>
      <w:hyperlink r:id="rId16">
        <w:r>
          <w:rPr>
            <w:rStyle w:val="LienInternet"/>
          </w:rPr>
          <w:t>avoir</w:t>
        </w:r>
      </w:hyperlink>
      <w:r>
        <w:t> d'accès à l'eau potable en 2025 si rien n'est fait. La réduction de la </w:t>
      </w:r>
      <w:hyperlink r:id="rId17">
        <w:r>
          <w:rPr>
            <w:rStyle w:val="LienInternet"/>
          </w:rPr>
          <w:t>consommation</w:t>
        </w:r>
      </w:hyperlink>
      <w:r>
        <w:t xml:space="preserve"> doit inévitablement </w:t>
      </w:r>
      <w:hyperlink r:id="rId18">
        <w:r>
          <w:rPr>
            <w:rStyle w:val="LienInternet"/>
          </w:rPr>
          <w:t>pa</w:t>
        </w:r>
        <w:r>
          <w:rPr>
            <w:rStyle w:val="LienInternet"/>
          </w:rPr>
          <w:t>s</w:t>
        </w:r>
        <w:r>
          <w:rPr>
            <w:rStyle w:val="LienInternet"/>
          </w:rPr>
          <w:t>ser</w:t>
        </w:r>
      </w:hyperlink>
      <w:r>
        <w:t> par une amélioration des techniques d'irrigation, mais la lutte contre le gaspillage sera difficile dans les pays en </w:t>
      </w:r>
      <w:hyperlink r:id="rId19">
        <w:r>
          <w:rPr>
            <w:rStyle w:val="LienInternet"/>
          </w:rPr>
          <w:t>développement</w:t>
        </w:r>
      </w:hyperlink>
      <w:r>
        <w:t>.</w:t>
      </w:r>
    </w:p>
    <w:p w:rsidR="000F2DFB" w:rsidRDefault="00BD495F">
      <w:pPr>
        <w:ind w:firstLine="708"/>
        <w:jc w:val="both"/>
      </w:pPr>
      <w:r>
        <w:t>Dans la meilleure des hypothèses, la réduction de la quantité d'eau utilisée par habitant ne r</w:t>
      </w:r>
      <w:r>
        <w:t>é</w:t>
      </w:r>
      <w:r>
        <w:t>soudra pas, malgré tout, la question de la pénurie : les ressources de nombreux pays resteront insuff</w:t>
      </w:r>
      <w:r>
        <w:t>i</w:t>
      </w:r>
      <w:r>
        <w:t>santes quelles que soient les amélioration</w:t>
      </w:r>
      <w:r>
        <w:t>s apportées à son utilisation. Reste à </w:t>
      </w:r>
      <w:hyperlink r:id="rId20">
        <w:r>
          <w:rPr>
            <w:rStyle w:val="LienInternet"/>
          </w:rPr>
          <w:t>envisager</w:t>
        </w:r>
      </w:hyperlink>
      <w:r>
        <w:t> des solutions adaptées à chaque terrain pour moins </w:t>
      </w:r>
      <w:hyperlink r:id="rId21">
        <w:r>
          <w:rPr>
            <w:rStyle w:val="LienInternet"/>
          </w:rPr>
          <w:t>polluer</w:t>
        </w:r>
      </w:hyperlink>
      <w:r>
        <w:t> les sources, mieux les gérer, et avant tout, </w:t>
      </w:r>
      <w:proofErr w:type="spellStart"/>
      <w:r w:rsidR="000F2DFB">
        <w:fldChar w:fldCharType="begin"/>
      </w:r>
      <w:r w:rsidR="000F2DFB">
        <w:instrText>HYPERLINK "http://conjugaison.lemonde.fr/conjugaison/premier-groupe/organiser/" \h</w:instrText>
      </w:r>
      <w:r w:rsidR="000F2DFB">
        <w:fldChar w:fldCharType="separate"/>
      </w:r>
      <w:r>
        <w:rPr>
          <w:rStyle w:val="LienInternet"/>
        </w:rPr>
        <w:t>organiser</w:t>
      </w:r>
      <w:r w:rsidR="000F2DFB">
        <w:fldChar w:fldCharType="end"/>
      </w:r>
      <w:r>
        <w:t>un</w:t>
      </w:r>
      <w:proofErr w:type="spellEnd"/>
      <w:r>
        <w:t xml:space="preserve"> meilleur recyclage de l'eau utilisée. A quel prix ?</w:t>
      </w:r>
    </w:p>
    <w:p w:rsidR="000F2DFB" w:rsidRDefault="000F2DFB">
      <w:pPr>
        <w:ind w:firstLine="708"/>
        <w:jc w:val="right"/>
      </w:pPr>
      <w:hyperlink r:id="rId22">
        <w:r w:rsidR="00BD495F">
          <w:rPr>
            <w:rStyle w:val="LienInternet"/>
            <w:sz w:val="22"/>
          </w:rPr>
          <w:t xml:space="preserve">Source : Emmanuelle </w:t>
        </w:r>
        <w:proofErr w:type="spellStart"/>
        <w:r w:rsidR="00BD495F">
          <w:rPr>
            <w:rStyle w:val="LienInternet"/>
            <w:sz w:val="22"/>
          </w:rPr>
          <w:t>Jardonnet</w:t>
        </w:r>
        <w:proofErr w:type="spellEnd"/>
        <w:r w:rsidR="00BD495F">
          <w:rPr>
            <w:rStyle w:val="LienInternet"/>
            <w:sz w:val="22"/>
          </w:rPr>
          <w:t xml:space="preserve">, </w:t>
        </w:r>
        <w:r w:rsidR="00BD495F">
          <w:rPr>
            <w:rStyle w:val="LienInternet"/>
            <w:i/>
            <w:sz w:val="22"/>
          </w:rPr>
          <w:t>Lemonde.fr</w:t>
        </w:r>
        <w:r w:rsidR="00BD495F">
          <w:rPr>
            <w:rStyle w:val="LienInternet"/>
            <w:sz w:val="22"/>
          </w:rPr>
          <w:t>, 20 mars 2005</w:t>
        </w:r>
      </w:hyperlink>
    </w:p>
    <w:p w:rsidR="000F2DFB" w:rsidRDefault="000F2DFB">
      <w:pPr>
        <w:ind w:firstLine="708"/>
        <w:jc w:val="both"/>
      </w:pPr>
    </w:p>
    <w:p w:rsidR="000F2DFB" w:rsidRDefault="00BD495F">
      <w:pPr>
        <w:pStyle w:val="Paragraphedeliste"/>
        <w:numPr>
          <w:ilvl w:val="0"/>
          <w:numId w:val="2"/>
        </w:numPr>
        <w:jc w:val="both"/>
      </w:pPr>
      <w:r>
        <w:t>Quel est le problème posé par les ressources en eau ?</w:t>
      </w:r>
    </w:p>
    <w:p w:rsidR="000F2DFB" w:rsidRDefault="00BD495F">
      <w:pPr>
        <w:pStyle w:val="Paragraphedeliste"/>
        <w:numPr>
          <w:ilvl w:val="0"/>
          <w:numId w:val="2"/>
        </w:numPr>
        <w:jc w:val="both"/>
      </w:pPr>
      <w:r>
        <w:t xml:space="preserve">En quoi cet exemple peut-il se rapprocher de la théorie de la </w:t>
      </w:r>
      <w:proofErr w:type="spellStart"/>
      <w:r>
        <w:t>soutena</w:t>
      </w:r>
      <w:r>
        <w:t>bilité</w:t>
      </w:r>
      <w:proofErr w:type="spellEnd"/>
      <w:r>
        <w:t xml:space="preserve"> forte ?</w:t>
      </w:r>
    </w:p>
    <w:p w:rsidR="000F2DFB" w:rsidRDefault="000F2DFB">
      <w:pPr>
        <w:ind w:firstLine="708"/>
        <w:jc w:val="both"/>
      </w:pPr>
    </w:p>
    <w:p w:rsidR="000F2DFB" w:rsidRDefault="000F2DFB">
      <w:pPr>
        <w:pBdr>
          <w:bottom w:val="single" w:sz="4" w:space="1" w:color="00000A"/>
        </w:pBdr>
        <w:jc w:val="center"/>
        <w:rPr>
          <w:b/>
          <w:sz w:val="28"/>
        </w:rPr>
      </w:pPr>
    </w:p>
    <w:p w:rsidR="000F2DFB" w:rsidRDefault="00BD495F">
      <w:pPr>
        <w:pBdr>
          <w:bottom w:val="single" w:sz="4" w:space="1" w:color="00000A"/>
        </w:pBdr>
        <w:jc w:val="center"/>
      </w:pPr>
      <w:r>
        <w:rPr>
          <w:b/>
          <w:sz w:val="28"/>
        </w:rPr>
        <w:t>Tâche finale</w:t>
      </w:r>
    </w:p>
    <w:p w:rsidR="000F2DFB" w:rsidRDefault="000F2DFB">
      <w:pPr>
        <w:jc w:val="both"/>
      </w:pPr>
    </w:p>
    <w:p w:rsidR="000F2DFB" w:rsidRDefault="000F2DFB">
      <w:pPr>
        <w:jc w:val="both"/>
      </w:pPr>
    </w:p>
    <w:p w:rsidR="000F2DFB" w:rsidRDefault="00BD495F">
      <w:pPr>
        <w:jc w:val="both"/>
      </w:pPr>
      <w:r>
        <w:t xml:space="preserve">Rédigez l’EC1 suivant à l’aide de la vidéo et du dossier documentaire : « Distinguez la </w:t>
      </w:r>
      <w:proofErr w:type="spellStart"/>
      <w:r>
        <w:t>soutenabilité</w:t>
      </w:r>
      <w:proofErr w:type="spellEnd"/>
      <w:r>
        <w:t xml:space="preserve"> forte de la </w:t>
      </w:r>
      <w:proofErr w:type="spellStart"/>
      <w:r>
        <w:t>soutenabilité</w:t>
      </w:r>
      <w:proofErr w:type="spellEnd"/>
      <w:r>
        <w:t xml:space="preserve"> faible à l’aide d’exemples. »</w:t>
      </w:r>
    </w:p>
    <w:sectPr w:rsidR="000F2DFB" w:rsidSect="000F2DFB">
      <w:pgSz w:w="11906" w:h="16838"/>
      <w:pgMar w:top="720" w:right="720" w:bottom="720" w:left="72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36EA"/>
    <w:multiLevelType w:val="multilevel"/>
    <w:tmpl w:val="EBC8D4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B26124C"/>
    <w:multiLevelType w:val="multilevel"/>
    <w:tmpl w:val="3A565AC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nsid w:val="76EB5C21"/>
    <w:multiLevelType w:val="multilevel"/>
    <w:tmpl w:val="26529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useFELayout/>
  </w:compat>
  <w:rsids>
    <w:rsidRoot w:val="000F2DFB"/>
    <w:rsid w:val="000F2DFB"/>
    <w:rsid w:val="00BD49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FB"/>
  </w:style>
  <w:style w:type="paragraph" w:styleId="Titre1">
    <w:name w:val="heading 1"/>
    <w:basedOn w:val="Normal"/>
    <w:link w:val="Titre1Car"/>
    <w:uiPriority w:val="9"/>
    <w:qFormat/>
    <w:rsid w:val="00E66119"/>
    <w:pPr>
      <w:spacing w:beforeAutospacing="1" w:afterAutospacing="1"/>
      <w:outlineLvl w:val="0"/>
    </w:pPr>
    <w:rPr>
      <w:rFonts w:ascii="Times New Roman" w:eastAsia="Times New Roman" w:hAnsi="Times New Roman" w:cs="Times New Roman"/>
      <w:b/>
      <w:bCs/>
      <w:sz w:val="48"/>
      <w:szCs w:val="48"/>
    </w:rPr>
  </w:style>
  <w:style w:type="paragraph" w:styleId="Titre2">
    <w:name w:val="heading 2"/>
    <w:basedOn w:val="Normal"/>
    <w:next w:val="Normal"/>
    <w:link w:val="Titre2Car"/>
    <w:uiPriority w:val="9"/>
    <w:semiHidden/>
    <w:unhideWhenUsed/>
    <w:qFormat/>
    <w:rsid w:val="00A866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Titre"/>
    <w:rsid w:val="000F2DFB"/>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6D1ADF"/>
    <w:rPr>
      <w:rFonts w:ascii="Lucida Grande" w:hAnsi="Lucida Grande"/>
      <w:sz w:val="18"/>
      <w:szCs w:val="18"/>
    </w:rPr>
  </w:style>
  <w:style w:type="character" w:customStyle="1" w:styleId="LienInternet">
    <w:name w:val="Lien Internet"/>
    <w:unhideWhenUsed/>
    <w:rsid w:val="007B4171"/>
    <w:rPr>
      <w:color w:val="0000FF"/>
      <w:u w:val="single"/>
    </w:rPr>
  </w:style>
  <w:style w:type="character" w:customStyle="1" w:styleId="Titre1Car">
    <w:name w:val="Titre 1 Car"/>
    <w:basedOn w:val="Policepardfaut"/>
    <w:link w:val="Titre1"/>
    <w:uiPriority w:val="9"/>
    <w:qFormat/>
    <w:rsid w:val="00E66119"/>
    <w:rPr>
      <w:rFonts w:ascii="Times New Roman" w:eastAsia="Times New Roman" w:hAnsi="Times New Roman" w:cs="Times New Roman"/>
      <w:b/>
      <w:bCs/>
      <w:sz w:val="48"/>
      <w:szCs w:val="48"/>
    </w:rPr>
  </w:style>
  <w:style w:type="character" w:customStyle="1" w:styleId="En-tteCar">
    <w:name w:val="En-tête Car"/>
    <w:basedOn w:val="Policepardfaut"/>
    <w:qFormat/>
    <w:rsid w:val="004D7C93"/>
    <w:rPr>
      <w:rFonts w:ascii="Times New Roman" w:eastAsia="Times New Roman" w:hAnsi="Times New Roman" w:cs="Arial"/>
      <w:szCs w:val="22"/>
    </w:rPr>
  </w:style>
  <w:style w:type="character" w:customStyle="1" w:styleId="Cours11QCar">
    <w:name w:val="Cours1.1Q Car"/>
    <w:basedOn w:val="Policepardfaut"/>
    <w:link w:val="Cours11Q"/>
    <w:qFormat/>
    <w:rsid w:val="004D7C93"/>
    <w:rPr>
      <w:rFonts w:ascii="Times New Roman" w:eastAsia="Times New Roman" w:hAnsi="Times New Roman" w:cs="Times New Roman"/>
      <w:b/>
      <w:color w:val="993366"/>
    </w:rPr>
  </w:style>
  <w:style w:type="character" w:customStyle="1" w:styleId="Titre2Car">
    <w:name w:val="Titre 2 Car"/>
    <w:basedOn w:val="Policepardfaut"/>
    <w:link w:val="Titre2"/>
    <w:uiPriority w:val="9"/>
    <w:semiHidden/>
    <w:qFormat/>
    <w:rsid w:val="00A86679"/>
    <w:rPr>
      <w:rFonts w:asciiTheme="majorHAnsi" w:eastAsiaTheme="majorEastAsia" w:hAnsiTheme="majorHAnsi" w:cstheme="majorBidi"/>
      <w:color w:val="365F91" w:themeColor="accent1" w:themeShade="BF"/>
      <w:sz w:val="26"/>
      <w:szCs w:val="26"/>
    </w:rPr>
  </w:style>
  <w:style w:type="character" w:customStyle="1" w:styleId="ListLabel1">
    <w:name w:val="ListLabel 1"/>
    <w:qFormat/>
    <w:rsid w:val="000F2DFB"/>
    <w:rPr>
      <w:rFonts w:eastAsia="MS Mincho"/>
    </w:rPr>
  </w:style>
  <w:style w:type="character" w:customStyle="1" w:styleId="ListLabel2">
    <w:name w:val="ListLabel 2"/>
    <w:qFormat/>
    <w:rsid w:val="000F2DFB"/>
    <w:rPr>
      <w:rFonts w:eastAsia="MS Mincho" w:cs="Times"/>
    </w:rPr>
  </w:style>
  <w:style w:type="character" w:customStyle="1" w:styleId="ListLabel3">
    <w:name w:val="ListLabel 3"/>
    <w:qFormat/>
    <w:rsid w:val="000F2DFB"/>
    <w:rPr>
      <w:rFonts w:eastAsia="MS Mincho"/>
    </w:rPr>
  </w:style>
  <w:style w:type="character" w:customStyle="1" w:styleId="ListLabel4">
    <w:name w:val="ListLabel 4"/>
    <w:qFormat/>
    <w:rsid w:val="000F2DFB"/>
    <w:rPr>
      <w:color w:val="00000A"/>
    </w:rPr>
  </w:style>
  <w:style w:type="character" w:customStyle="1" w:styleId="ListLabel5">
    <w:name w:val="ListLabel 5"/>
    <w:qFormat/>
    <w:rsid w:val="000F2DFB"/>
    <w:rPr>
      <w:color w:val="000000"/>
    </w:rPr>
  </w:style>
  <w:style w:type="paragraph" w:styleId="Titre">
    <w:name w:val="Title"/>
    <w:basedOn w:val="Normal"/>
    <w:next w:val="Corpsdetexte"/>
    <w:qFormat/>
    <w:rsid w:val="000F2DFB"/>
    <w:pPr>
      <w:keepNext/>
      <w:spacing w:before="240" w:after="120"/>
    </w:pPr>
    <w:rPr>
      <w:rFonts w:ascii="Liberation Sans" w:eastAsia="Microsoft YaHei" w:hAnsi="Liberation Sans" w:cs="Arial Unicode MS"/>
      <w:sz w:val="28"/>
      <w:szCs w:val="28"/>
    </w:rPr>
  </w:style>
  <w:style w:type="paragraph" w:styleId="Corpsdetexte">
    <w:name w:val="Body Text"/>
    <w:basedOn w:val="Normal"/>
    <w:rsid w:val="000F2DFB"/>
    <w:pPr>
      <w:spacing w:after="140" w:line="288" w:lineRule="auto"/>
    </w:pPr>
  </w:style>
  <w:style w:type="paragraph" w:styleId="Liste">
    <w:name w:val="List"/>
    <w:basedOn w:val="Corpsdetexte"/>
    <w:rsid w:val="000F2DFB"/>
    <w:rPr>
      <w:rFonts w:cs="Arial Unicode MS"/>
    </w:rPr>
  </w:style>
  <w:style w:type="paragraph" w:styleId="Lgende">
    <w:name w:val="caption"/>
    <w:basedOn w:val="Normal"/>
    <w:rsid w:val="000F2DFB"/>
    <w:pPr>
      <w:suppressLineNumbers/>
      <w:spacing w:before="120" w:after="120"/>
    </w:pPr>
    <w:rPr>
      <w:rFonts w:cs="Arial Unicode MS"/>
      <w:i/>
      <w:iCs/>
    </w:rPr>
  </w:style>
  <w:style w:type="paragraph" w:customStyle="1" w:styleId="Index">
    <w:name w:val="Index"/>
    <w:basedOn w:val="Normal"/>
    <w:qFormat/>
    <w:rsid w:val="000F2DFB"/>
    <w:pPr>
      <w:suppressLineNumbers/>
    </w:pPr>
    <w:rPr>
      <w:rFonts w:cs="Arial Unicode MS"/>
    </w:rPr>
  </w:style>
  <w:style w:type="paragraph" w:styleId="Paragraphedeliste">
    <w:name w:val="List Paragraph"/>
    <w:basedOn w:val="Normal"/>
    <w:uiPriority w:val="34"/>
    <w:qFormat/>
    <w:rsid w:val="006D1ADF"/>
    <w:pPr>
      <w:ind w:left="720"/>
      <w:contextualSpacing/>
    </w:pPr>
  </w:style>
  <w:style w:type="paragraph" w:styleId="Textedebulles">
    <w:name w:val="Balloon Text"/>
    <w:basedOn w:val="Normal"/>
    <w:link w:val="TextedebullesCar"/>
    <w:uiPriority w:val="99"/>
    <w:semiHidden/>
    <w:unhideWhenUsed/>
    <w:qFormat/>
    <w:rsid w:val="006D1ADF"/>
    <w:rPr>
      <w:rFonts w:ascii="Lucida Grande" w:hAnsi="Lucida Grande"/>
      <w:sz w:val="18"/>
      <w:szCs w:val="18"/>
    </w:rPr>
  </w:style>
  <w:style w:type="paragraph" w:styleId="Sansinterligne">
    <w:name w:val="No Spacing"/>
    <w:uiPriority w:val="1"/>
    <w:qFormat/>
    <w:rsid w:val="0090646C"/>
  </w:style>
  <w:style w:type="paragraph" w:styleId="NormalWeb">
    <w:name w:val="Normal (Web)"/>
    <w:basedOn w:val="Normal"/>
    <w:uiPriority w:val="99"/>
    <w:unhideWhenUsed/>
    <w:qFormat/>
    <w:rsid w:val="00FB114D"/>
    <w:pPr>
      <w:spacing w:beforeAutospacing="1" w:afterAutospacing="1"/>
    </w:pPr>
    <w:rPr>
      <w:rFonts w:ascii="Times" w:hAnsi="Times" w:cs="Times New Roman"/>
      <w:sz w:val="20"/>
      <w:szCs w:val="20"/>
    </w:rPr>
  </w:style>
  <w:style w:type="paragraph" w:styleId="En-tte">
    <w:name w:val="header"/>
    <w:basedOn w:val="Normal"/>
    <w:unhideWhenUsed/>
    <w:rsid w:val="004D7C93"/>
    <w:pPr>
      <w:widowControl w:val="0"/>
      <w:tabs>
        <w:tab w:val="center" w:pos="4536"/>
        <w:tab w:val="right" w:pos="9072"/>
      </w:tabs>
      <w:jc w:val="both"/>
    </w:pPr>
    <w:rPr>
      <w:rFonts w:ascii="Times New Roman" w:eastAsia="Times New Roman" w:hAnsi="Times New Roman" w:cs="Arial"/>
      <w:szCs w:val="22"/>
    </w:rPr>
  </w:style>
  <w:style w:type="paragraph" w:customStyle="1" w:styleId="cours11Texte">
    <w:name w:val="cours1.1Texte"/>
    <w:basedOn w:val="Normal"/>
    <w:qFormat/>
    <w:rsid w:val="004D7C93"/>
    <w:pPr>
      <w:ind w:left="567"/>
      <w:jc w:val="both"/>
    </w:pPr>
    <w:rPr>
      <w:rFonts w:ascii="Times New Roman" w:eastAsia="Times New Roman" w:hAnsi="Times New Roman" w:cs="Times New Roman"/>
    </w:rPr>
  </w:style>
  <w:style w:type="paragraph" w:customStyle="1" w:styleId="Cours11Q">
    <w:name w:val="Cours1.1Q"/>
    <w:basedOn w:val="Normal"/>
    <w:link w:val="Cours11QCar"/>
    <w:qFormat/>
    <w:rsid w:val="004D7C93"/>
    <w:pPr>
      <w:ind w:left="567"/>
      <w:jc w:val="both"/>
    </w:pPr>
    <w:rPr>
      <w:rFonts w:ascii="Times New Roman" w:eastAsia="Times New Roman" w:hAnsi="Times New Roman" w:cs="Times New Roman"/>
      <w:b/>
      <w:color w:val="993366"/>
    </w:rPr>
  </w:style>
  <w:style w:type="paragraph" w:customStyle="1" w:styleId="Quotations">
    <w:name w:val="Quotations"/>
    <w:basedOn w:val="Normal"/>
    <w:qFormat/>
    <w:rsid w:val="000F2DFB"/>
  </w:style>
  <w:style w:type="paragraph" w:customStyle="1" w:styleId="Titreprincipal">
    <w:name w:val="Titre principal"/>
    <w:basedOn w:val="Titre"/>
    <w:rsid w:val="000F2DFB"/>
  </w:style>
  <w:style w:type="paragraph" w:styleId="Sous-titre">
    <w:name w:val="Subtitle"/>
    <w:basedOn w:val="Titre"/>
    <w:rsid w:val="000F2DFB"/>
  </w:style>
  <w:style w:type="table" w:styleId="Grilledutableau">
    <w:name w:val="Table Grid"/>
    <w:basedOn w:val="TableauNormal"/>
    <w:uiPriority w:val="59"/>
    <w:rsid w:val="00FD4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techcrunch.com/2013/05/20/founders-fund-backs-hampton-creek-foods/" TargetMode="External"/><Relationship Id="rId13" Type="http://schemas.openxmlformats.org/officeDocument/2006/relationships/hyperlink" Target="http://conjugaison.lemonde.fr/conjugaison/premier-groupe/reconsid&#233;rer/" TargetMode="External"/><Relationship Id="rId18" Type="http://schemas.openxmlformats.org/officeDocument/2006/relationships/hyperlink" Target="http://conjugaison.lemonde.fr/conjugaison/premier-groupe/passer/" TargetMode="External"/><Relationship Id="rId3" Type="http://schemas.openxmlformats.org/officeDocument/2006/relationships/styles" Target="styles.xml"/><Relationship Id="rId21" Type="http://schemas.openxmlformats.org/officeDocument/2006/relationships/hyperlink" Target="http://conjugaison.lemonde.fr/conjugaison/premier-groupe/polluer/" TargetMode="External"/><Relationship Id="rId7" Type="http://schemas.openxmlformats.org/officeDocument/2006/relationships/hyperlink" Target="http://www.thegatesnotes.com/features/future-of-food" TargetMode="External"/><Relationship Id="rId12" Type="http://schemas.openxmlformats.org/officeDocument/2006/relationships/hyperlink" Target="http://www.lemonde.fr/russie/" TargetMode="External"/><Relationship Id="rId17" Type="http://schemas.openxmlformats.org/officeDocument/2006/relationships/hyperlink" Target="http://www.lemonde.fr/consommation/" TargetMode="External"/><Relationship Id="rId2" Type="http://schemas.openxmlformats.org/officeDocument/2006/relationships/numbering" Target="numbering.xml"/><Relationship Id="rId16" Type="http://schemas.openxmlformats.org/officeDocument/2006/relationships/hyperlink" Target="http://conjugaison.lemonde.fr/conjugaison/auxiliaire/avoir/" TargetMode="External"/><Relationship Id="rId20" Type="http://schemas.openxmlformats.org/officeDocument/2006/relationships/hyperlink" Target="http://conjugaison.lemonde.fr/conjugaison/premier-groupe/envisager/" TargetMode="External"/><Relationship Id="rId1" Type="http://schemas.openxmlformats.org/officeDocument/2006/relationships/customXml" Target="../customXml/item1.xml"/><Relationship Id="rId6" Type="http://schemas.openxmlformats.org/officeDocument/2006/relationships/hyperlink" Target="http://www.latimes.com/food/dailydish/la-dd-bill-gates-chicken-less-eggs-20130912,0,3264114.story" TargetMode="External"/><Relationship Id="rId11" Type="http://schemas.openxmlformats.org/officeDocument/2006/relationships/hyperlink" Target="http://www.lemonde.fr/chin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monde.fr/les-experts/" TargetMode="External"/><Relationship Id="rId23" Type="http://schemas.openxmlformats.org/officeDocument/2006/relationships/fontTable" Target="fontTable.xml"/><Relationship Id="rId10" Type="http://schemas.openxmlformats.org/officeDocument/2006/relationships/hyperlink" Target="http://www.lemonde.fr/inde/" TargetMode="External"/><Relationship Id="rId19" Type="http://schemas.openxmlformats.org/officeDocument/2006/relationships/hyperlink" Target="http://www.lemonde.fr/developpement/" TargetMode="External"/><Relationship Id="rId4" Type="http://schemas.openxmlformats.org/officeDocument/2006/relationships/settings" Target="settings.xml"/><Relationship Id="rId9" Type="http://schemas.openxmlformats.org/officeDocument/2006/relationships/hyperlink" Target="http://www.lemonde.fr/demographie/" TargetMode="External"/><Relationship Id="rId14" Type="http://schemas.openxmlformats.org/officeDocument/2006/relationships/hyperlink" Target="http://conjugaison.lemonde.fr/conjugaison/premier-groupe/g&#233;rer/" TargetMode="External"/><Relationship Id="rId22" Type="http://schemas.openxmlformats.org/officeDocument/2006/relationships/hyperlink" Target="http://www.lemonde.fr/planete/article/2005/03/20/l-epuisement-des-ressources-en-eau_626088_3244.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2879E-3301-4015-A400-3AB744B7F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5333</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O</dc:creator>
  <cp:lastModifiedBy>BRUNO</cp:lastModifiedBy>
  <cp:revision>2</cp:revision>
  <cp:lastPrinted>2016-03-26T09:53:00Z</cp:lastPrinted>
  <dcterms:created xsi:type="dcterms:W3CDTF">2017-03-28T06:01:00Z</dcterms:created>
  <dcterms:modified xsi:type="dcterms:W3CDTF">2017-03-28T06:01:00Z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