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A0" w:rsidRPr="00052F71" w:rsidRDefault="00052F71" w:rsidP="00052F71">
      <w:pPr>
        <w:widowControl/>
        <w:autoSpaceDE/>
        <w:autoSpaceDN/>
        <w:adjustRightInd/>
        <w:jc w:val="center"/>
        <w:rPr>
          <w:rFonts w:cs="Times New Roman"/>
          <w:b/>
          <w:sz w:val="20"/>
          <w:szCs w:val="20"/>
          <w:u w:val="single"/>
        </w:rPr>
      </w:pPr>
      <w:r w:rsidRPr="00052F71">
        <w:rPr>
          <w:b/>
        </w:rPr>
        <w:t>Savoir-faire applicables aux données quantitatives et aux représentations graphiques</w:t>
      </w:r>
    </w:p>
    <w:p w:rsidR="00B20FA0" w:rsidRDefault="00B20FA0" w:rsidP="00CD5A7D">
      <w:pPr>
        <w:widowControl/>
        <w:autoSpaceDE/>
        <w:autoSpaceDN/>
        <w:adjustRightInd/>
        <w:jc w:val="left"/>
        <w:rPr>
          <w:rFonts w:cs="Times New Roman"/>
          <w:b/>
          <w:sz w:val="20"/>
          <w:szCs w:val="20"/>
          <w:u w:val="single"/>
        </w:rPr>
      </w:pPr>
    </w:p>
    <w:p w:rsidR="00CD5A7D" w:rsidRPr="00B20FA0" w:rsidRDefault="00CD5A7D" w:rsidP="00CD5A7D">
      <w:pPr>
        <w:widowControl/>
        <w:autoSpaceDE/>
        <w:autoSpaceDN/>
        <w:adjustRightInd/>
        <w:jc w:val="left"/>
        <w:rPr>
          <w:rFonts w:cs="Times New Roman"/>
          <w:b/>
          <w:sz w:val="20"/>
          <w:szCs w:val="20"/>
          <w:u w:val="single"/>
        </w:rPr>
      </w:pPr>
      <w:r w:rsidRPr="00B20FA0">
        <w:rPr>
          <w:rFonts w:cs="Times New Roman"/>
          <w:b/>
          <w:sz w:val="20"/>
          <w:szCs w:val="20"/>
          <w:u w:val="single"/>
        </w:rPr>
        <w:t xml:space="preserve">Rapports </w:t>
      </w:r>
      <w:proofErr w:type="spellStart"/>
      <w:r w:rsidRPr="00B20FA0">
        <w:rPr>
          <w:rFonts w:cs="Times New Roman"/>
          <w:b/>
          <w:sz w:val="20"/>
          <w:szCs w:val="20"/>
          <w:u w:val="single"/>
        </w:rPr>
        <w:t>interquantiles</w:t>
      </w:r>
      <w:proofErr w:type="spellEnd"/>
      <w:r w:rsidRPr="00B20FA0">
        <w:rPr>
          <w:rFonts w:cs="Times New Roman"/>
          <w:b/>
          <w:sz w:val="20"/>
          <w:szCs w:val="20"/>
          <w:u w:val="single"/>
        </w:rPr>
        <w:t xml:space="preserve"> </w:t>
      </w:r>
    </w:p>
    <w:p w:rsidR="00CD5A7D" w:rsidRPr="00B20FA0" w:rsidRDefault="00CD5A7D" w:rsidP="00CD5A7D">
      <w:pPr>
        <w:widowControl/>
        <w:autoSpaceDE/>
        <w:autoSpaceDN/>
        <w:adjustRightInd/>
        <w:jc w:val="left"/>
        <w:rPr>
          <w:rFonts w:cs="Times New Roman"/>
          <w:sz w:val="20"/>
          <w:szCs w:val="20"/>
        </w:rPr>
      </w:pPr>
      <w:r w:rsidRPr="00B20FA0">
        <w:rPr>
          <w:rFonts w:cs="Times New Roman"/>
          <w:sz w:val="20"/>
          <w:szCs w:val="20"/>
        </w:rPr>
        <w:t>Mesure les inégalités dans la distribution d'une variable en effectuant le rapport entre le dernier quantile et le premier quantile.</w:t>
      </w:r>
    </w:p>
    <w:p w:rsidR="00CD5A7D" w:rsidRPr="00B20FA0" w:rsidRDefault="00CD5A7D" w:rsidP="00CD5A7D">
      <w:pPr>
        <w:widowControl/>
        <w:autoSpaceDE/>
        <w:autoSpaceDN/>
        <w:adjustRightInd/>
        <w:jc w:val="left"/>
        <w:rPr>
          <w:rFonts w:cs="Times New Roman"/>
          <w:sz w:val="20"/>
          <w:szCs w:val="20"/>
        </w:rPr>
      </w:pPr>
    </w:p>
    <w:p w:rsidR="00CD5A7D" w:rsidRPr="00B20FA0" w:rsidRDefault="00CD5A7D" w:rsidP="00CD5A7D">
      <w:pPr>
        <w:widowControl/>
        <w:autoSpaceDE/>
        <w:autoSpaceDN/>
        <w:adjustRightInd/>
        <w:jc w:val="left"/>
        <w:rPr>
          <w:rFonts w:cs="Times New Roman"/>
          <w:sz w:val="20"/>
          <w:szCs w:val="20"/>
        </w:rPr>
      </w:pPr>
      <w:r w:rsidRPr="00B20FA0">
        <w:rPr>
          <w:rFonts w:cs="Times New Roman"/>
          <w:bCs/>
          <w:sz w:val="20"/>
          <w:szCs w:val="20"/>
          <w:u w:val="single"/>
        </w:rPr>
        <w:t>Exemple :</w:t>
      </w:r>
      <w:r w:rsidRPr="00B20FA0">
        <w:rPr>
          <w:rFonts w:cs="Times New Roman"/>
          <w:sz w:val="20"/>
          <w:szCs w:val="20"/>
        </w:rPr>
        <w:t xml:space="preserve"> la distribution des niveaux de vie.</w:t>
      </w:r>
    </w:p>
    <w:tbl>
      <w:tblPr>
        <w:tblW w:w="0" w:type="auto"/>
        <w:tblCellSpacing w:w="22" w:type="dxa"/>
        <w:shd w:val="clear" w:color="auto" w:fill="0B0B61"/>
        <w:tblCellMar>
          <w:top w:w="15" w:type="dxa"/>
          <w:left w:w="15" w:type="dxa"/>
          <w:bottom w:w="15" w:type="dxa"/>
          <w:right w:w="15" w:type="dxa"/>
        </w:tblCellMar>
        <w:tblLook w:val="04A0"/>
      </w:tblPr>
      <w:tblGrid>
        <w:gridCol w:w="696"/>
        <w:gridCol w:w="624"/>
        <w:gridCol w:w="624"/>
        <w:gridCol w:w="624"/>
        <w:gridCol w:w="624"/>
        <w:gridCol w:w="624"/>
        <w:gridCol w:w="624"/>
        <w:gridCol w:w="624"/>
        <w:gridCol w:w="624"/>
        <w:gridCol w:w="646"/>
      </w:tblGrid>
      <w:tr w:rsidR="00CD5A7D" w:rsidRPr="00B20FA0" w:rsidTr="00CD5A7D">
        <w:trPr>
          <w:tblCellSpacing w:w="22" w:type="dxa"/>
        </w:trPr>
        <w:tc>
          <w:tcPr>
            <w:tcW w:w="0" w:type="auto"/>
            <w:gridSpan w:val="10"/>
            <w:shd w:val="clear" w:color="auto" w:fill="auto"/>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b/>
                <w:bCs/>
                <w:sz w:val="20"/>
                <w:szCs w:val="20"/>
              </w:rPr>
              <w:t>Distribution des niveaux de vie en 2010</w:t>
            </w:r>
          </w:p>
        </w:tc>
      </w:tr>
      <w:tr w:rsidR="00CD5A7D" w:rsidRPr="00B20FA0" w:rsidTr="00CD5A7D">
        <w:trPr>
          <w:tblCellSpacing w:w="22" w:type="dxa"/>
        </w:trPr>
        <w:tc>
          <w:tcPr>
            <w:tcW w:w="0" w:type="auto"/>
            <w:shd w:val="clear" w:color="auto" w:fill="auto"/>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b/>
                <w:bCs/>
                <w:sz w:val="20"/>
                <w:szCs w:val="20"/>
              </w:rPr>
              <w:t>Déciles</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D1</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D2</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D3</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D4</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D5</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D6</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D7</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D8</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D9</w:t>
            </w:r>
          </w:p>
        </w:tc>
      </w:tr>
      <w:tr w:rsidR="00CD5A7D" w:rsidRPr="00B20FA0" w:rsidTr="00CD5A7D">
        <w:trPr>
          <w:tblCellSpacing w:w="22" w:type="dxa"/>
        </w:trPr>
        <w:tc>
          <w:tcPr>
            <w:tcW w:w="0" w:type="auto"/>
            <w:shd w:val="clear" w:color="auto" w:fill="auto"/>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b/>
                <w:bCs/>
                <w:sz w:val="20"/>
                <w:szCs w:val="20"/>
              </w:rPr>
              <w:t>en €</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10 430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12 990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15 180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17 190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19 270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21 600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24 430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28 560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36 270</w:t>
            </w:r>
          </w:p>
        </w:tc>
      </w:tr>
    </w:tbl>
    <w:p w:rsidR="00CD5A7D" w:rsidRPr="00B20FA0" w:rsidRDefault="00CD5A7D" w:rsidP="00CD5A7D">
      <w:pPr>
        <w:widowControl/>
        <w:autoSpaceDE/>
        <w:autoSpaceDN/>
        <w:adjustRightInd/>
        <w:jc w:val="left"/>
        <w:rPr>
          <w:rFonts w:cs="Times New Roman"/>
          <w:vanish/>
          <w:sz w:val="20"/>
          <w:szCs w:val="20"/>
        </w:rPr>
      </w:pPr>
    </w:p>
    <w:tbl>
      <w:tblPr>
        <w:tblW w:w="0" w:type="auto"/>
        <w:tblCellSpacing w:w="22" w:type="dxa"/>
        <w:shd w:val="clear" w:color="auto" w:fill="0B0B61"/>
        <w:tblCellMar>
          <w:top w:w="15" w:type="dxa"/>
          <w:left w:w="15" w:type="dxa"/>
          <w:bottom w:w="15" w:type="dxa"/>
          <w:right w:w="15" w:type="dxa"/>
        </w:tblCellMar>
        <w:tblLook w:val="04A0"/>
      </w:tblPr>
      <w:tblGrid>
        <w:gridCol w:w="696"/>
        <w:gridCol w:w="524"/>
        <w:gridCol w:w="763"/>
        <w:gridCol w:w="763"/>
        <w:gridCol w:w="763"/>
        <w:gridCol w:w="763"/>
        <w:gridCol w:w="763"/>
        <w:gridCol w:w="763"/>
        <w:gridCol w:w="763"/>
        <w:gridCol w:w="763"/>
        <w:gridCol w:w="646"/>
      </w:tblGrid>
      <w:tr w:rsidR="00CD5A7D" w:rsidRPr="00B20FA0" w:rsidTr="00CD5A7D">
        <w:trPr>
          <w:tblCellSpacing w:w="22" w:type="dxa"/>
        </w:trPr>
        <w:tc>
          <w:tcPr>
            <w:tcW w:w="0" w:type="auto"/>
            <w:gridSpan w:val="11"/>
            <w:tcBorders>
              <w:top w:val="nil"/>
              <w:left w:val="nil"/>
              <w:bottom w:val="nil"/>
              <w:right w:val="nil"/>
            </w:tcBorders>
            <w:shd w:val="clear" w:color="auto" w:fill="auto"/>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b/>
                <w:bCs/>
                <w:sz w:val="20"/>
                <w:szCs w:val="20"/>
              </w:rPr>
              <w:t>Niveaux de vie moyens par décile en 2010</w:t>
            </w:r>
          </w:p>
        </w:tc>
      </w:tr>
      <w:tr w:rsidR="00CD5A7D" w:rsidRPr="00B20FA0" w:rsidTr="00CD5A7D">
        <w:trPr>
          <w:tblCellSpacing w:w="22" w:type="dxa"/>
        </w:trPr>
        <w:tc>
          <w:tcPr>
            <w:tcW w:w="0" w:type="auto"/>
            <w:shd w:val="clear" w:color="auto" w:fill="auto"/>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b/>
                <w:bCs/>
                <w:sz w:val="20"/>
                <w:szCs w:val="20"/>
              </w:rPr>
              <w:t>Déciles</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&lt; D1</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[D1-D2]</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[D2-D3]</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[D3-D4]</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[D4-D5]</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[D5-D6]</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[D6-D7]</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[D7-D8]</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[D8-D9]</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&gt; D9</w:t>
            </w:r>
          </w:p>
        </w:tc>
      </w:tr>
      <w:tr w:rsidR="00CD5A7D" w:rsidRPr="00B20FA0" w:rsidTr="00CD5A7D">
        <w:trPr>
          <w:tblCellSpacing w:w="22" w:type="dxa"/>
        </w:trPr>
        <w:tc>
          <w:tcPr>
            <w:tcW w:w="0" w:type="auto"/>
            <w:shd w:val="clear" w:color="auto" w:fill="auto"/>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b/>
                <w:bCs/>
                <w:sz w:val="20"/>
                <w:szCs w:val="20"/>
              </w:rPr>
              <w:t>en €</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7 940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11 750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14 100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16 190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18 230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20 380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22 920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26 340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31 860</w:t>
            </w:r>
          </w:p>
        </w:tc>
        <w:tc>
          <w:tcPr>
            <w:tcW w:w="0" w:type="auto"/>
            <w:shd w:val="clear" w:color="auto" w:fill="FFFFFF"/>
            <w:vAlign w:val="center"/>
            <w:hideMark/>
          </w:tcPr>
          <w:p w:rsidR="00CD5A7D" w:rsidRPr="00B20FA0" w:rsidRDefault="00CD5A7D" w:rsidP="00CD5A7D">
            <w:pPr>
              <w:widowControl/>
              <w:autoSpaceDE/>
              <w:autoSpaceDN/>
              <w:adjustRightInd/>
              <w:jc w:val="center"/>
              <w:rPr>
                <w:rFonts w:cs="Times New Roman"/>
                <w:sz w:val="20"/>
                <w:szCs w:val="20"/>
              </w:rPr>
            </w:pPr>
            <w:r w:rsidRPr="00B20FA0">
              <w:rPr>
                <w:rFonts w:cs="Times New Roman"/>
                <w:sz w:val="20"/>
                <w:szCs w:val="20"/>
              </w:rPr>
              <w:t>56 190</w:t>
            </w:r>
          </w:p>
        </w:tc>
      </w:tr>
    </w:tbl>
    <w:p w:rsidR="00CD5A7D" w:rsidRPr="00B20FA0" w:rsidRDefault="00CD5A7D">
      <w:pPr>
        <w:rPr>
          <w:rFonts w:cs="Times New Roman"/>
          <w:sz w:val="20"/>
          <w:szCs w:val="20"/>
        </w:rPr>
      </w:pPr>
      <w:r w:rsidRPr="00B20FA0">
        <w:rPr>
          <w:rFonts w:cs="Times New Roman"/>
          <w:b/>
          <w:bCs/>
          <w:i/>
          <w:iCs/>
          <w:sz w:val="20"/>
          <w:szCs w:val="20"/>
        </w:rPr>
        <w:t>Source : INSEE, enquête Revenus fiscaux et sociaux 2010</w:t>
      </w:r>
    </w:p>
    <w:p w:rsidR="00CD5A7D" w:rsidRPr="00B20FA0" w:rsidRDefault="00CD5A7D">
      <w:pPr>
        <w:rPr>
          <w:rFonts w:cs="Times New Roman"/>
          <w:sz w:val="20"/>
          <w:szCs w:val="20"/>
        </w:rPr>
      </w:pPr>
    </w:p>
    <w:p w:rsidR="00CD5A7D" w:rsidRPr="00B20FA0" w:rsidRDefault="00CD5A7D">
      <w:pPr>
        <w:rPr>
          <w:rFonts w:cs="Times New Roman"/>
          <w:sz w:val="20"/>
          <w:szCs w:val="20"/>
        </w:rPr>
      </w:pPr>
      <w:r w:rsidRPr="00B20FA0">
        <w:rPr>
          <w:rFonts w:cs="Times New Roman"/>
          <w:bCs/>
          <w:sz w:val="20"/>
          <w:szCs w:val="20"/>
          <w:u w:val="single"/>
        </w:rPr>
        <w:t xml:space="preserve">Calcul 1 : le rapport </w:t>
      </w:r>
      <w:proofErr w:type="spellStart"/>
      <w:r w:rsidRPr="00B20FA0">
        <w:rPr>
          <w:rFonts w:cs="Times New Roman"/>
          <w:bCs/>
          <w:sz w:val="20"/>
          <w:szCs w:val="20"/>
          <w:u w:val="single"/>
        </w:rPr>
        <w:t>interdécile</w:t>
      </w:r>
      <w:proofErr w:type="spellEnd"/>
    </w:p>
    <w:p w:rsidR="00CD5A7D" w:rsidRPr="00B20FA0" w:rsidRDefault="00CD5A7D">
      <w:pPr>
        <w:rPr>
          <w:rFonts w:cs="Times New Roman"/>
          <w:sz w:val="20"/>
          <w:szCs w:val="20"/>
        </w:rPr>
      </w:pPr>
      <w:r w:rsidRPr="00B20FA0">
        <w:rPr>
          <w:rFonts w:cs="Times New Roman"/>
          <w:sz w:val="20"/>
          <w:szCs w:val="20"/>
        </w:rPr>
        <w:t>D9 / D1 = 36 270 € / 10 430 € = 3,48</w:t>
      </w:r>
    </w:p>
    <w:p w:rsidR="00CD5A7D" w:rsidRPr="00B20FA0" w:rsidRDefault="00CD5A7D">
      <w:pPr>
        <w:rPr>
          <w:rFonts w:cs="Times New Roman"/>
          <w:sz w:val="20"/>
          <w:szCs w:val="20"/>
        </w:rPr>
      </w:pPr>
    </w:p>
    <w:p w:rsidR="00CD5A7D" w:rsidRPr="00B20FA0" w:rsidRDefault="00CD5A7D">
      <w:pPr>
        <w:rPr>
          <w:rFonts w:cs="Times New Roman"/>
          <w:sz w:val="20"/>
          <w:szCs w:val="20"/>
        </w:rPr>
      </w:pPr>
      <w:r w:rsidRPr="00B20FA0">
        <w:rPr>
          <w:rFonts w:cs="Times New Roman"/>
          <w:bCs/>
          <w:sz w:val="20"/>
          <w:szCs w:val="20"/>
          <w:u w:val="single"/>
        </w:rPr>
        <w:t>Lecture 1 :</w:t>
      </w:r>
    </w:p>
    <w:p w:rsidR="00CD5A7D" w:rsidRPr="00B20FA0" w:rsidRDefault="00CD5A7D">
      <w:pPr>
        <w:rPr>
          <w:rFonts w:cs="Times New Roman"/>
          <w:sz w:val="20"/>
          <w:szCs w:val="20"/>
        </w:rPr>
      </w:pPr>
      <w:r w:rsidRPr="00B20FA0">
        <w:rPr>
          <w:rFonts w:cs="Times New Roman"/>
          <w:sz w:val="20"/>
          <w:szCs w:val="20"/>
        </w:rPr>
        <w:t>En 2010, le niveau de vie le plus faible des 10% de ménages aux niveaux de vie les plus élevés était 3,48 fois plus élevé que le niveau de vie le plus élevé des 10% de ménages aux niveaux de vie les plus faibles.</w:t>
      </w:r>
    </w:p>
    <w:p w:rsidR="00CD5A7D" w:rsidRPr="00B20FA0" w:rsidRDefault="00CD5A7D">
      <w:pPr>
        <w:rPr>
          <w:rFonts w:cs="Times New Roman"/>
          <w:sz w:val="20"/>
          <w:szCs w:val="20"/>
        </w:rPr>
      </w:pPr>
    </w:p>
    <w:p w:rsidR="00CD5A7D" w:rsidRPr="00B20FA0" w:rsidRDefault="00CD5A7D">
      <w:pPr>
        <w:rPr>
          <w:rFonts w:cs="Times New Roman"/>
          <w:sz w:val="20"/>
          <w:szCs w:val="20"/>
        </w:rPr>
      </w:pPr>
      <w:r w:rsidRPr="00B20FA0">
        <w:rPr>
          <w:rFonts w:cs="Times New Roman"/>
          <w:sz w:val="20"/>
          <w:szCs w:val="20"/>
        </w:rPr>
        <w:t>On peut appliquer ce type de calcul à des quartiles, des quintiles, des centiles.</w:t>
      </w:r>
    </w:p>
    <w:p w:rsidR="00CD5A7D" w:rsidRPr="00B20FA0" w:rsidRDefault="00CD5A7D">
      <w:pPr>
        <w:rPr>
          <w:rFonts w:cs="Times New Roman"/>
          <w:sz w:val="20"/>
          <w:szCs w:val="20"/>
        </w:rPr>
      </w:pPr>
    </w:p>
    <w:p w:rsidR="00CD5A7D" w:rsidRPr="00B20FA0" w:rsidRDefault="00CD5A7D">
      <w:pPr>
        <w:rPr>
          <w:rFonts w:cs="Times New Roman"/>
          <w:sz w:val="20"/>
          <w:szCs w:val="20"/>
        </w:rPr>
      </w:pPr>
      <w:r w:rsidRPr="00B20FA0">
        <w:rPr>
          <w:rFonts w:cs="Times New Roman"/>
          <w:bCs/>
          <w:sz w:val="20"/>
          <w:szCs w:val="20"/>
          <w:u w:val="single"/>
        </w:rPr>
        <w:t>Calcul 2 :</w:t>
      </w:r>
    </w:p>
    <w:p w:rsidR="00CD5A7D" w:rsidRPr="00B20FA0" w:rsidRDefault="00CD5A7D">
      <w:pPr>
        <w:rPr>
          <w:rFonts w:cs="Times New Roman"/>
          <w:sz w:val="20"/>
          <w:szCs w:val="20"/>
        </w:rPr>
      </w:pPr>
      <w:r w:rsidRPr="00B20FA0">
        <w:rPr>
          <w:rFonts w:cs="Times New Roman"/>
          <w:sz w:val="20"/>
          <w:szCs w:val="20"/>
        </w:rPr>
        <w:t>Niveau de vie moyen des 10% les plus riches / Niveau de vie moyen des 10% les moins riches</w:t>
      </w:r>
    </w:p>
    <w:p w:rsidR="00CD5A7D" w:rsidRPr="00B20FA0" w:rsidRDefault="00CD5A7D">
      <w:pPr>
        <w:rPr>
          <w:rFonts w:cs="Times New Roman"/>
          <w:sz w:val="20"/>
          <w:szCs w:val="20"/>
        </w:rPr>
      </w:pPr>
      <w:r w:rsidRPr="00B20FA0">
        <w:rPr>
          <w:rFonts w:cs="Times New Roman"/>
          <w:sz w:val="20"/>
          <w:szCs w:val="20"/>
        </w:rPr>
        <w:t>56 190 € / 7 940 € = 7,08</w:t>
      </w:r>
    </w:p>
    <w:p w:rsidR="00CD5A7D" w:rsidRPr="00B20FA0" w:rsidRDefault="00CD5A7D">
      <w:pPr>
        <w:rPr>
          <w:rFonts w:cs="Times New Roman"/>
          <w:sz w:val="20"/>
          <w:szCs w:val="20"/>
        </w:rPr>
      </w:pPr>
    </w:p>
    <w:p w:rsidR="00CD5A7D" w:rsidRPr="00B20FA0" w:rsidRDefault="00CD5A7D">
      <w:pPr>
        <w:rPr>
          <w:rFonts w:cs="Times New Roman"/>
          <w:sz w:val="20"/>
          <w:szCs w:val="20"/>
        </w:rPr>
      </w:pPr>
      <w:r w:rsidRPr="00B20FA0">
        <w:rPr>
          <w:rFonts w:cs="Times New Roman"/>
          <w:bCs/>
          <w:sz w:val="20"/>
          <w:szCs w:val="20"/>
          <w:u w:val="single"/>
        </w:rPr>
        <w:t>Lecture 2 :</w:t>
      </w:r>
      <w:r w:rsidRPr="00B20FA0">
        <w:rPr>
          <w:rFonts w:cs="Times New Roman"/>
          <w:sz w:val="20"/>
          <w:szCs w:val="20"/>
        </w:rPr>
        <w:t xml:space="preserve"> </w:t>
      </w:r>
    </w:p>
    <w:p w:rsidR="00CD5A7D" w:rsidRPr="00B20FA0" w:rsidRDefault="00CD5A7D">
      <w:pPr>
        <w:rPr>
          <w:rFonts w:cs="Times New Roman"/>
          <w:sz w:val="20"/>
          <w:szCs w:val="20"/>
        </w:rPr>
      </w:pPr>
      <w:r w:rsidRPr="00B20FA0">
        <w:rPr>
          <w:rFonts w:cs="Times New Roman"/>
          <w:sz w:val="20"/>
          <w:szCs w:val="20"/>
        </w:rPr>
        <w:t>En 2010, le niveau de vie moyen des 10% de ménages les plus riches était 7,08 fois plus élevé que le niveau de vie moyen des 10% de ménages les moins riches.</w:t>
      </w:r>
    </w:p>
    <w:p w:rsidR="00293153" w:rsidRPr="00B20FA0" w:rsidRDefault="00CD5A7D">
      <w:pPr>
        <w:rPr>
          <w:rFonts w:cs="Times New Roman"/>
          <w:sz w:val="20"/>
          <w:szCs w:val="20"/>
        </w:rPr>
      </w:pPr>
      <w:r w:rsidRPr="00B20FA0">
        <w:rPr>
          <w:rFonts w:cs="Times New Roman"/>
          <w:sz w:val="20"/>
          <w:szCs w:val="20"/>
        </w:rPr>
        <w:t>Les inégalités sont ici bien plus fortes qu'elles n'apparaissaient dans le calcul 1.</w:t>
      </w:r>
    </w:p>
    <w:p w:rsidR="00CD5A7D" w:rsidRPr="00B20FA0" w:rsidRDefault="00CD5A7D">
      <w:pPr>
        <w:rPr>
          <w:rFonts w:cs="Times New Roman"/>
          <w:sz w:val="20"/>
          <w:szCs w:val="20"/>
        </w:rPr>
      </w:pPr>
    </w:p>
    <w:p w:rsidR="00CD5A7D" w:rsidRPr="00B20FA0" w:rsidRDefault="00CD5A7D">
      <w:pPr>
        <w:rPr>
          <w:rFonts w:cs="Times New Roman"/>
          <w:b/>
          <w:sz w:val="20"/>
          <w:szCs w:val="20"/>
          <w:u w:val="single"/>
        </w:rPr>
      </w:pPr>
      <w:r w:rsidRPr="00B20FA0">
        <w:rPr>
          <w:rFonts w:cs="Times New Roman"/>
          <w:b/>
          <w:sz w:val="20"/>
          <w:szCs w:val="20"/>
          <w:u w:val="single"/>
        </w:rPr>
        <w:t>Niveau de vie</w:t>
      </w:r>
    </w:p>
    <w:p w:rsidR="00CD5A7D" w:rsidRPr="00B20FA0" w:rsidRDefault="00CD5A7D">
      <w:pPr>
        <w:rPr>
          <w:rFonts w:cs="Times New Roman"/>
          <w:sz w:val="20"/>
          <w:szCs w:val="20"/>
        </w:rPr>
      </w:pPr>
      <w:r w:rsidRPr="00B20FA0">
        <w:rPr>
          <w:rFonts w:cs="Times New Roman"/>
          <w:sz w:val="20"/>
          <w:szCs w:val="20"/>
        </w:rPr>
        <w:t>En France, L'INSEE propose de mesurer le niveau de vie des ménages de la façon suivante :</w:t>
      </w:r>
    </w:p>
    <w:p w:rsidR="00CD5A7D" w:rsidRPr="00B20FA0" w:rsidRDefault="00CD5A7D">
      <w:pPr>
        <w:rPr>
          <w:rFonts w:cs="Times New Roman"/>
          <w:i/>
          <w:iCs/>
          <w:sz w:val="20"/>
          <w:szCs w:val="20"/>
        </w:rPr>
      </w:pPr>
      <w:r w:rsidRPr="00B20FA0">
        <w:rPr>
          <w:rFonts w:cs="Times New Roman"/>
          <w:i/>
          <w:iCs/>
          <w:sz w:val="20"/>
          <w:szCs w:val="20"/>
        </w:rPr>
        <w:t xml:space="preserve">"Le niveau de vie est égal au </w:t>
      </w:r>
      <w:r w:rsidRPr="00B20FA0">
        <w:rPr>
          <w:rStyle w:val="lien"/>
          <w:rFonts w:cs="Times New Roman"/>
          <w:i/>
          <w:iCs/>
          <w:sz w:val="20"/>
          <w:szCs w:val="20"/>
        </w:rPr>
        <w:t>revenu disponible</w:t>
      </w:r>
      <w:r w:rsidRPr="00B20FA0">
        <w:rPr>
          <w:rFonts w:cs="Times New Roman"/>
          <w:i/>
          <w:iCs/>
          <w:sz w:val="20"/>
          <w:szCs w:val="20"/>
        </w:rPr>
        <w:t xml:space="preserve"> du </w:t>
      </w:r>
      <w:r w:rsidRPr="00B20FA0">
        <w:rPr>
          <w:rStyle w:val="lien"/>
          <w:rFonts w:cs="Times New Roman"/>
          <w:i/>
          <w:iCs/>
          <w:sz w:val="20"/>
          <w:szCs w:val="20"/>
        </w:rPr>
        <w:t>ménage</w:t>
      </w:r>
      <w:r w:rsidRPr="00B20FA0">
        <w:rPr>
          <w:rFonts w:cs="Times New Roman"/>
          <w:i/>
          <w:iCs/>
          <w:sz w:val="20"/>
          <w:szCs w:val="20"/>
        </w:rPr>
        <w:t xml:space="preserve"> divisé par le nombre d'unités de consommation (</w:t>
      </w:r>
      <w:proofErr w:type="spellStart"/>
      <w:r w:rsidRPr="00B20FA0">
        <w:rPr>
          <w:rFonts w:cs="Times New Roman"/>
          <w:i/>
          <w:iCs/>
          <w:sz w:val="20"/>
          <w:szCs w:val="20"/>
        </w:rPr>
        <w:t>uc</w:t>
      </w:r>
      <w:proofErr w:type="spellEnd"/>
      <w:r w:rsidRPr="00B20FA0">
        <w:rPr>
          <w:rFonts w:cs="Times New Roman"/>
          <w:i/>
          <w:iCs/>
          <w:sz w:val="20"/>
          <w:szCs w:val="20"/>
        </w:rPr>
        <w:t xml:space="preserve">). Le niveau de vie est donc le même pour tous les individus d'un même </w:t>
      </w:r>
      <w:r w:rsidRPr="00B20FA0">
        <w:rPr>
          <w:rStyle w:val="lien"/>
          <w:rFonts w:cs="Times New Roman"/>
          <w:i/>
          <w:iCs/>
          <w:sz w:val="20"/>
          <w:szCs w:val="20"/>
        </w:rPr>
        <w:t>ménage</w:t>
      </w:r>
      <w:r w:rsidRPr="00B20FA0">
        <w:rPr>
          <w:rFonts w:cs="Times New Roman"/>
          <w:i/>
          <w:iCs/>
          <w:sz w:val="20"/>
          <w:szCs w:val="20"/>
        </w:rPr>
        <w:t>.</w:t>
      </w:r>
    </w:p>
    <w:p w:rsidR="00CD5A7D" w:rsidRPr="00B20FA0" w:rsidRDefault="00CD5A7D">
      <w:pPr>
        <w:rPr>
          <w:rFonts w:cs="Times New Roman"/>
          <w:i/>
          <w:iCs/>
          <w:sz w:val="20"/>
          <w:szCs w:val="20"/>
        </w:rPr>
      </w:pPr>
      <w:r w:rsidRPr="00B20FA0">
        <w:rPr>
          <w:rFonts w:cs="Times New Roman"/>
          <w:i/>
          <w:iCs/>
          <w:sz w:val="20"/>
          <w:szCs w:val="20"/>
        </w:rPr>
        <w:t xml:space="preserve">Les unités de consommation sont généralement calculées selon l'échelle d'équivalence dite de l'OCDE modifiée qui attribue 1 </w:t>
      </w:r>
      <w:proofErr w:type="spellStart"/>
      <w:r w:rsidRPr="00B20FA0">
        <w:rPr>
          <w:rFonts w:cs="Times New Roman"/>
          <w:i/>
          <w:iCs/>
          <w:sz w:val="20"/>
          <w:szCs w:val="20"/>
        </w:rPr>
        <w:t>uc</w:t>
      </w:r>
      <w:proofErr w:type="spellEnd"/>
      <w:r w:rsidRPr="00B20FA0">
        <w:rPr>
          <w:rFonts w:cs="Times New Roman"/>
          <w:i/>
          <w:iCs/>
          <w:sz w:val="20"/>
          <w:szCs w:val="20"/>
        </w:rPr>
        <w:t xml:space="preserve"> au premier adulte du ménage, 0,5 </w:t>
      </w:r>
      <w:proofErr w:type="spellStart"/>
      <w:r w:rsidRPr="00B20FA0">
        <w:rPr>
          <w:rFonts w:cs="Times New Roman"/>
          <w:i/>
          <w:iCs/>
          <w:sz w:val="20"/>
          <w:szCs w:val="20"/>
        </w:rPr>
        <w:t>uc</w:t>
      </w:r>
      <w:proofErr w:type="spellEnd"/>
      <w:r w:rsidRPr="00B20FA0">
        <w:rPr>
          <w:rFonts w:cs="Times New Roman"/>
          <w:i/>
          <w:iCs/>
          <w:sz w:val="20"/>
          <w:szCs w:val="20"/>
        </w:rPr>
        <w:t xml:space="preserve"> aux autres personnes de 14 ans ou plus et 0,3 </w:t>
      </w:r>
      <w:proofErr w:type="spellStart"/>
      <w:r w:rsidRPr="00B20FA0">
        <w:rPr>
          <w:rFonts w:cs="Times New Roman"/>
          <w:i/>
          <w:iCs/>
          <w:sz w:val="20"/>
          <w:szCs w:val="20"/>
        </w:rPr>
        <w:t>uc</w:t>
      </w:r>
      <w:proofErr w:type="spellEnd"/>
      <w:r w:rsidRPr="00B20FA0">
        <w:rPr>
          <w:rFonts w:cs="Times New Roman"/>
          <w:i/>
          <w:iCs/>
          <w:sz w:val="20"/>
          <w:szCs w:val="20"/>
        </w:rPr>
        <w:t xml:space="preserve"> aux enfants de moins de 14 ans."</w:t>
      </w:r>
    </w:p>
    <w:p w:rsidR="00CD5A7D" w:rsidRPr="00B20FA0" w:rsidRDefault="00CD5A7D">
      <w:pPr>
        <w:rPr>
          <w:rFonts w:cs="Times New Roman"/>
          <w:iCs/>
          <w:sz w:val="20"/>
          <w:szCs w:val="20"/>
        </w:rPr>
      </w:pPr>
    </w:p>
    <w:p w:rsidR="00734016" w:rsidRPr="00B20FA0" w:rsidRDefault="00734016" w:rsidP="00734016">
      <w:pPr>
        <w:rPr>
          <w:rFonts w:cs="Times New Roman"/>
          <w:b/>
          <w:sz w:val="20"/>
          <w:szCs w:val="20"/>
          <w:u w:val="single"/>
        </w:rPr>
      </w:pPr>
      <w:r w:rsidRPr="00B20FA0">
        <w:rPr>
          <w:b/>
          <w:sz w:val="20"/>
          <w:szCs w:val="20"/>
          <w:u w:val="single"/>
        </w:rPr>
        <w:t>Coefficient de Gini</w:t>
      </w:r>
    </w:p>
    <w:p w:rsidR="00734016" w:rsidRPr="00CD5A7D" w:rsidRDefault="00734016">
      <w:pPr>
        <w:rPr>
          <w:iCs/>
        </w:rPr>
      </w:pPr>
    </w:p>
    <w:p w:rsidR="00CD5A7D" w:rsidRPr="00CD5A7D" w:rsidRDefault="00CD5A7D">
      <w:pPr>
        <w:rPr>
          <w:iCs/>
        </w:rPr>
      </w:pPr>
      <w:r>
        <w:rPr>
          <w:iCs/>
          <w:noProof/>
        </w:rPr>
        <w:drawing>
          <wp:inline distT="0" distB="0" distL="0" distR="0">
            <wp:extent cx="5760720" cy="171032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1710323"/>
                    </a:xfrm>
                    <a:prstGeom prst="rect">
                      <a:avLst/>
                    </a:prstGeom>
                    <a:noFill/>
                    <a:ln w="9525">
                      <a:noFill/>
                      <a:miter lim="800000"/>
                      <a:headEnd/>
                      <a:tailEnd/>
                    </a:ln>
                  </pic:spPr>
                </pic:pic>
              </a:graphicData>
            </a:graphic>
          </wp:inline>
        </w:drawing>
      </w:r>
    </w:p>
    <w:p w:rsidR="003678CB" w:rsidRDefault="003678CB">
      <w:pPr>
        <w:widowControl/>
        <w:autoSpaceDE/>
        <w:autoSpaceDN/>
        <w:adjustRightInd/>
        <w:spacing w:after="200" w:line="276" w:lineRule="auto"/>
        <w:jc w:val="left"/>
      </w:pPr>
      <w:r>
        <w:br w:type="page"/>
      </w:r>
    </w:p>
    <w:p w:rsidR="003678CB" w:rsidRDefault="003678CB">
      <w:r>
        <w:lastRenderedPageBreak/>
        <w:t>Ouvrez le fichier Excel nommé « </w:t>
      </w:r>
      <w:r w:rsidR="0039479E" w:rsidRPr="0039479E">
        <w:t>t_1_1_b_TD_inegalites</w:t>
      </w:r>
      <w:r>
        <w:t>.xlsx »</w:t>
      </w:r>
    </w:p>
    <w:p w:rsidR="003678CB" w:rsidRDefault="003678CB"/>
    <w:p w:rsidR="003678CB" w:rsidRPr="003678CB" w:rsidRDefault="003678CB">
      <w:pPr>
        <w:rPr>
          <w:b/>
          <w:u w:val="single"/>
        </w:rPr>
      </w:pPr>
      <w:r w:rsidRPr="003678CB">
        <w:rPr>
          <w:b/>
          <w:u w:val="single"/>
        </w:rPr>
        <w:t>Exercice 1</w:t>
      </w:r>
    </w:p>
    <w:p w:rsidR="003678CB" w:rsidRDefault="003678CB"/>
    <w:p w:rsidR="003678CB" w:rsidRDefault="003678CB">
      <w:r>
        <w:t>Dans le fichier Excel, sélectionnez l’onglet « exo1 ».</w:t>
      </w:r>
    </w:p>
    <w:p w:rsidR="0073180B" w:rsidRDefault="0073180B"/>
    <w:p w:rsidR="003678CB" w:rsidRDefault="003678CB" w:rsidP="003678CB">
      <w:pPr>
        <w:pStyle w:val="Paragraphedeliste"/>
        <w:numPr>
          <w:ilvl w:val="0"/>
          <w:numId w:val="1"/>
        </w:numPr>
      </w:pPr>
      <w:r>
        <w:t>Que signifie l’expression « € constants 2013 »</w:t>
      </w:r>
      <w:r w:rsidR="00990899">
        <w:t> ?</w:t>
      </w:r>
    </w:p>
    <w:p w:rsidR="003678CB" w:rsidRDefault="003678CB" w:rsidP="003678CB">
      <w:pPr>
        <w:pStyle w:val="Paragraphedeliste"/>
        <w:numPr>
          <w:ilvl w:val="0"/>
          <w:numId w:val="1"/>
        </w:numPr>
      </w:pPr>
      <w:r>
        <w:t>Faites une phrase avec la première valeur de chaque tableau.</w:t>
      </w:r>
    </w:p>
    <w:p w:rsidR="003678CB" w:rsidRDefault="003678CB" w:rsidP="003678CB">
      <w:pPr>
        <w:pStyle w:val="Paragraphedeliste"/>
        <w:numPr>
          <w:ilvl w:val="0"/>
          <w:numId w:val="1"/>
        </w:numPr>
      </w:pPr>
      <w:r w:rsidRPr="003678CB">
        <w:t>Remplissez pour chaque tableau la colonne « </w:t>
      </w:r>
      <w:proofErr w:type="spellStart"/>
      <w:r w:rsidRPr="003678CB">
        <w:t>Tx</w:t>
      </w:r>
      <w:proofErr w:type="spellEnd"/>
      <w:r w:rsidRPr="003678CB">
        <w:t xml:space="preserve"> </w:t>
      </w:r>
      <w:r w:rsidR="00990899">
        <w:sym w:font="Symbol" w:char="F044"/>
      </w:r>
      <w:r w:rsidRPr="003678CB">
        <w:t xml:space="preserve"> % »</w:t>
      </w:r>
      <w:r w:rsidR="00D279DD">
        <w:t>. (Utilisez les fonctions de calcul d’Excel).</w:t>
      </w:r>
    </w:p>
    <w:p w:rsidR="003678CB" w:rsidRDefault="003678CB" w:rsidP="003678CB">
      <w:pPr>
        <w:pStyle w:val="Paragraphedeliste"/>
        <w:numPr>
          <w:ilvl w:val="0"/>
          <w:numId w:val="1"/>
        </w:numPr>
      </w:pPr>
      <w:r>
        <w:t>Remplissez pour chaque tableau la dernière ligne et faites une phrase pour exprimer le résultat obtenu</w:t>
      </w:r>
      <w:r w:rsidR="00D279DD" w:rsidRPr="003678CB">
        <w:t>»</w:t>
      </w:r>
      <w:r w:rsidR="00D279DD">
        <w:t>. (Utilisez les fonctions de calcul d’Excel).</w:t>
      </w:r>
    </w:p>
    <w:p w:rsidR="00990899" w:rsidRDefault="00990899" w:rsidP="003678CB">
      <w:pPr>
        <w:pStyle w:val="Paragraphedeliste"/>
        <w:numPr>
          <w:ilvl w:val="0"/>
          <w:numId w:val="1"/>
        </w:numPr>
      </w:pPr>
      <w:r>
        <w:t>Qu’est-ce que la redistribution ?</w:t>
      </w:r>
    </w:p>
    <w:p w:rsidR="00990899" w:rsidRDefault="00990899" w:rsidP="003678CB">
      <w:pPr>
        <w:pStyle w:val="Paragraphedeliste"/>
        <w:numPr>
          <w:ilvl w:val="0"/>
          <w:numId w:val="1"/>
        </w:numPr>
      </w:pPr>
      <w:r>
        <w:t>La redistribution a-t-elle un effet notable sur les inégalités de niveaux de vie ?</w:t>
      </w:r>
    </w:p>
    <w:p w:rsidR="001B1718" w:rsidRPr="003678CB" w:rsidRDefault="001B1718" w:rsidP="003678CB">
      <w:pPr>
        <w:pStyle w:val="Paragraphedeliste"/>
        <w:numPr>
          <w:ilvl w:val="0"/>
          <w:numId w:val="1"/>
        </w:numPr>
      </w:pPr>
      <w:r>
        <w:t>Comment expliquer que les inégalités en termes de niveaux de vie moyens par décile après redistribution (tableau 3) soient plus élevées que les inégalités de niveaux de vie par décile (tableau 2)</w:t>
      </w:r>
    </w:p>
    <w:p w:rsidR="003678CB" w:rsidRDefault="003678CB"/>
    <w:p w:rsidR="002D2006" w:rsidRPr="003678CB" w:rsidRDefault="002D2006" w:rsidP="002D2006">
      <w:pPr>
        <w:rPr>
          <w:b/>
          <w:u w:val="single"/>
        </w:rPr>
      </w:pPr>
      <w:r w:rsidRPr="003678CB">
        <w:rPr>
          <w:b/>
          <w:u w:val="single"/>
        </w:rPr>
        <w:t xml:space="preserve">Exercice </w:t>
      </w:r>
      <w:r>
        <w:rPr>
          <w:b/>
          <w:u w:val="single"/>
        </w:rPr>
        <w:t>2</w:t>
      </w:r>
    </w:p>
    <w:p w:rsidR="002D2006" w:rsidRDefault="002D2006"/>
    <w:p w:rsidR="002D2006" w:rsidRDefault="002D2006" w:rsidP="002D2006">
      <w:r>
        <w:t>Dans le fichier Excel, sélectionnez l’onglet « exo2 ».</w:t>
      </w:r>
    </w:p>
    <w:p w:rsidR="0073180B" w:rsidRDefault="0073180B" w:rsidP="002D2006"/>
    <w:p w:rsidR="002D2006" w:rsidRDefault="0073180B" w:rsidP="0073180B">
      <w:pPr>
        <w:pStyle w:val="Paragraphedeliste"/>
        <w:numPr>
          <w:ilvl w:val="0"/>
          <w:numId w:val="1"/>
        </w:numPr>
      </w:pPr>
      <w:r>
        <w:t>Qu’est-ce qu’un patrimoine ?</w:t>
      </w:r>
    </w:p>
    <w:p w:rsidR="0073180B" w:rsidRDefault="0073180B" w:rsidP="0073180B">
      <w:pPr>
        <w:pStyle w:val="Paragraphedeliste"/>
        <w:numPr>
          <w:ilvl w:val="0"/>
          <w:numId w:val="1"/>
        </w:numPr>
      </w:pPr>
      <w:r>
        <w:t>Faites une phrase avec la première valeur du tableau.</w:t>
      </w:r>
    </w:p>
    <w:p w:rsidR="0073180B" w:rsidRDefault="0073180B" w:rsidP="0073180B">
      <w:pPr>
        <w:pStyle w:val="Paragraphedeliste"/>
        <w:numPr>
          <w:ilvl w:val="0"/>
          <w:numId w:val="1"/>
        </w:numPr>
      </w:pPr>
      <w:r>
        <w:t>Calculez la dernière ligne du tableau</w:t>
      </w:r>
      <w:r w:rsidR="00D279DD" w:rsidRPr="003678CB">
        <w:t>»</w:t>
      </w:r>
      <w:r w:rsidR="00D279DD">
        <w:t>. (Utilisez les fonctions de calcul d’Excel).</w:t>
      </w:r>
    </w:p>
    <w:p w:rsidR="0073180B" w:rsidRDefault="0073180B" w:rsidP="0073180B">
      <w:pPr>
        <w:pStyle w:val="Paragraphedeliste"/>
        <w:numPr>
          <w:ilvl w:val="0"/>
          <w:numId w:val="1"/>
        </w:numPr>
      </w:pPr>
      <w:r>
        <w:t>Les inégalités de patrimoine s’accroissent-elles depuis 1998 ?</w:t>
      </w:r>
    </w:p>
    <w:p w:rsidR="0073180B" w:rsidRDefault="0073180B" w:rsidP="0073180B">
      <w:pPr>
        <w:pStyle w:val="Paragraphedeliste"/>
        <w:numPr>
          <w:ilvl w:val="0"/>
          <w:numId w:val="1"/>
        </w:numPr>
      </w:pPr>
      <w:r>
        <w:t>Comment expliquer que les inégalités de patrimoine soient bien plus fortes que les inégalités de revenus ou de niveaux de vie ?</w:t>
      </w:r>
    </w:p>
    <w:p w:rsidR="002D2006" w:rsidRDefault="002D2006"/>
    <w:p w:rsidR="0073180B" w:rsidRPr="003678CB" w:rsidRDefault="0073180B" w:rsidP="0073180B">
      <w:pPr>
        <w:rPr>
          <w:b/>
          <w:u w:val="single"/>
        </w:rPr>
      </w:pPr>
      <w:r w:rsidRPr="003678CB">
        <w:rPr>
          <w:b/>
          <w:u w:val="single"/>
        </w:rPr>
        <w:t xml:space="preserve">Exercice </w:t>
      </w:r>
      <w:r>
        <w:rPr>
          <w:b/>
          <w:u w:val="single"/>
        </w:rPr>
        <w:t>3</w:t>
      </w:r>
    </w:p>
    <w:p w:rsidR="0073180B" w:rsidRDefault="0073180B" w:rsidP="0073180B"/>
    <w:p w:rsidR="0073180B" w:rsidRDefault="0073180B" w:rsidP="0073180B">
      <w:r>
        <w:t>Dans le fichier Excel, sélectionnez l’onglet « exo3</w:t>
      </w:r>
      <w:r w:rsidR="00710AC1">
        <w:t>_Graph1</w:t>
      </w:r>
      <w:r>
        <w:t> ».</w:t>
      </w:r>
    </w:p>
    <w:p w:rsidR="0073180B" w:rsidRDefault="0073180B" w:rsidP="0073180B"/>
    <w:p w:rsidR="0073180B" w:rsidRDefault="0073180B" w:rsidP="0073180B">
      <w:pPr>
        <w:pStyle w:val="Paragraphedeliste"/>
        <w:numPr>
          <w:ilvl w:val="0"/>
          <w:numId w:val="1"/>
        </w:numPr>
      </w:pPr>
      <w:r>
        <w:t>Dans le graphique, que représente la ligne rouge</w:t>
      </w:r>
      <w:r w:rsidR="00D279DD">
        <w:t xml:space="preserve">, </w:t>
      </w:r>
      <w:r>
        <w:t>que représente la courbe bleue</w:t>
      </w:r>
      <w:r w:rsidR="00D279DD">
        <w:t xml:space="preserve">, </w:t>
      </w:r>
      <w:r>
        <w:t>que représente la courbe verte ?</w:t>
      </w:r>
    </w:p>
    <w:p w:rsidR="0073180B" w:rsidRDefault="0073180B" w:rsidP="0073180B">
      <w:pPr>
        <w:pStyle w:val="Paragraphedeliste"/>
        <w:numPr>
          <w:ilvl w:val="0"/>
          <w:numId w:val="1"/>
        </w:numPr>
      </w:pPr>
      <w:r>
        <w:t>Faites une phrase avec la première valeur sur la courbe bleue (3,5).</w:t>
      </w:r>
    </w:p>
    <w:p w:rsidR="0073180B" w:rsidRDefault="0073180B" w:rsidP="0073180B">
      <w:pPr>
        <w:pStyle w:val="Paragraphedeliste"/>
        <w:numPr>
          <w:ilvl w:val="0"/>
          <w:numId w:val="1"/>
        </w:numPr>
      </w:pPr>
      <w:r>
        <w:t>Faites une phrase avec la dernière valeur</w:t>
      </w:r>
      <w:r w:rsidR="007026FE">
        <w:t xml:space="preserve"> sur la courbe verte (52,0).</w:t>
      </w:r>
    </w:p>
    <w:p w:rsidR="00D279DD" w:rsidRDefault="00D279DD" w:rsidP="0073180B">
      <w:pPr>
        <w:pStyle w:val="Paragraphedeliste"/>
        <w:numPr>
          <w:ilvl w:val="0"/>
          <w:numId w:val="1"/>
        </w:numPr>
      </w:pPr>
      <w:r>
        <w:t>D’après ce graphique pour quelle variable le coefficient de Gini est le plus fort ? Qu’est-ce que cela signifie ?</w:t>
      </w:r>
    </w:p>
    <w:p w:rsidR="0073180B" w:rsidRDefault="0073180B"/>
    <w:p w:rsidR="007026FE" w:rsidRPr="003678CB" w:rsidRDefault="007026FE" w:rsidP="007026FE">
      <w:pPr>
        <w:rPr>
          <w:b/>
          <w:u w:val="single"/>
        </w:rPr>
      </w:pPr>
      <w:r w:rsidRPr="003678CB">
        <w:rPr>
          <w:b/>
          <w:u w:val="single"/>
        </w:rPr>
        <w:t xml:space="preserve">Exercice </w:t>
      </w:r>
      <w:r>
        <w:rPr>
          <w:b/>
          <w:u w:val="single"/>
        </w:rPr>
        <w:t>4</w:t>
      </w:r>
    </w:p>
    <w:p w:rsidR="007026FE" w:rsidRDefault="007026FE" w:rsidP="007026FE"/>
    <w:p w:rsidR="007026FE" w:rsidRDefault="007026FE" w:rsidP="007026FE">
      <w:r>
        <w:t>Dans le fichier Excel, sélectionnez l’onglet « exo4 ».</w:t>
      </w:r>
    </w:p>
    <w:p w:rsidR="007026FE" w:rsidRDefault="007026FE" w:rsidP="007026FE"/>
    <w:p w:rsidR="007026FE" w:rsidRDefault="00D279DD" w:rsidP="00D279DD">
      <w:pPr>
        <w:pStyle w:val="Paragraphedeliste"/>
        <w:numPr>
          <w:ilvl w:val="0"/>
          <w:numId w:val="1"/>
        </w:numPr>
      </w:pPr>
      <w:r>
        <w:t>Faites une phrase avec la valeur affichée pour la France.</w:t>
      </w:r>
    </w:p>
    <w:p w:rsidR="00D279DD" w:rsidRDefault="00D279DD" w:rsidP="00D279DD">
      <w:pPr>
        <w:pStyle w:val="Paragraphedeliste"/>
        <w:numPr>
          <w:ilvl w:val="0"/>
          <w:numId w:val="1"/>
        </w:numPr>
      </w:pPr>
      <w:r>
        <w:t>Trier le tableau par ordre croissant des valeurs figurant dans la colonne « 2012 »</w:t>
      </w:r>
      <w:r w:rsidRPr="00D279DD">
        <w:t xml:space="preserve"> </w:t>
      </w:r>
      <w:r w:rsidRPr="003678CB">
        <w:t>»</w:t>
      </w:r>
      <w:r>
        <w:t>. (Utilisez les fonctions de tri d’Excel).</w:t>
      </w:r>
    </w:p>
    <w:p w:rsidR="00D279DD" w:rsidRDefault="00D279DD" w:rsidP="00D279DD">
      <w:pPr>
        <w:pStyle w:val="Paragraphedeliste"/>
        <w:numPr>
          <w:ilvl w:val="0"/>
          <w:numId w:val="1"/>
        </w:numPr>
      </w:pPr>
      <w:r>
        <w:t>Quelle est la position de la France dans ce classement ?</w:t>
      </w:r>
    </w:p>
    <w:p w:rsidR="007026FE" w:rsidRPr="00CD5A7D" w:rsidRDefault="00D279DD" w:rsidP="0051076D">
      <w:pPr>
        <w:pStyle w:val="Paragraphedeliste"/>
        <w:numPr>
          <w:ilvl w:val="0"/>
          <w:numId w:val="1"/>
        </w:numPr>
      </w:pPr>
      <w:r>
        <w:t>Réalisez avec Excel un graphique représentant au mieux les valeurs de cette colonne « 2012 ».</w:t>
      </w:r>
    </w:p>
    <w:sectPr w:rsidR="007026FE" w:rsidRPr="00CD5A7D" w:rsidSect="00293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43083"/>
    <w:multiLevelType w:val="hybridMultilevel"/>
    <w:tmpl w:val="B68212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123374"/>
    <w:multiLevelType w:val="hybridMultilevel"/>
    <w:tmpl w:val="5EF40D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9C2FAF"/>
    <w:multiLevelType w:val="hybridMultilevel"/>
    <w:tmpl w:val="0928C4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9C604F"/>
    <w:multiLevelType w:val="hybridMultilevel"/>
    <w:tmpl w:val="D7D82E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D5A7D"/>
    <w:rsid w:val="00052F71"/>
    <w:rsid w:val="001023E9"/>
    <w:rsid w:val="001B1718"/>
    <w:rsid w:val="00293153"/>
    <w:rsid w:val="002C5FE3"/>
    <w:rsid w:val="002D2006"/>
    <w:rsid w:val="003678CB"/>
    <w:rsid w:val="0039479E"/>
    <w:rsid w:val="00494E60"/>
    <w:rsid w:val="004C7D77"/>
    <w:rsid w:val="0051076D"/>
    <w:rsid w:val="007026FE"/>
    <w:rsid w:val="00710AC1"/>
    <w:rsid w:val="0073180B"/>
    <w:rsid w:val="00734016"/>
    <w:rsid w:val="007C4F39"/>
    <w:rsid w:val="0090468F"/>
    <w:rsid w:val="00990899"/>
    <w:rsid w:val="00B20FA0"/>
    <w:rsid w:val="00CD5A7D"/>
    <w:rsid w:val="00D279DD"/>
    <w:rsid w:val="00DA2B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
    <w:name w:val="lien"/>
    <w:basedOn w:val="Policepardfaut"/>
    <w:rsid w:val="00CD5A7D"/>
  </w:style>
  <w:style w:type="paragraph" w:styleId="Textedebulles">
    <w:name w:val="Balloon Text"/>
    <w:basedOn w:val="Normal"/>
    <w:link w:val="TextedebullesCar"/>
    <w:uiPriority w:val="99"/>
    <w:semiHidden/>
    <w:unhideWhenUsed/>
    <w:rsid w:val="00CD5A7D"/>
    <w:rPr>
      <w:rFonts w:ascii="Tahoma" w:hAnsi="Tahoma" w:cs="Tahoma"/>
      <w:sz w:val="16"/>
      <w:szCs w:val="16"/>
    </w:rPr>
  </w:style>
  <w:style w:type="character" w:customStyle="1" w:styleId="TextedebullesCar">
    <w:name w:val="Texte de bulles Car"/>
    <w:basedOn w:val="Policepardfaut"/>
    <w:link w:val="Textedebulles"/>
    <w:uiPriority w:val="99"/>
    <w:semiHidden/>
    <w:rsid w:val="00CD5A7D"/>
    <w:rPr>
      <w:rFonts w:ascii="Tahoma" w:hAnsi="Tahoma" w:cs="Tahoma"/>
      <w:sz w:val="16"/>
      <w:szCs w:val="16"/>
      <w:lang w:eastAsia="fr-FR"/>
    </w:rPr>
  </w:style>
  <w:style w:type="paragraph" w:styleId="Paragraphedeliste">
    <w:name w:val="List Paragraph"/>
    <w:basedOn w:val="Normal"/>
    <w:uiPriority w:val="34"/>
    <w:qFormat/>
    <w:rsid w:val="003678CB"/>
    <w:pPr>
      <w:ind w:left="720"/>
      <w:contextualSpacing/>
    </w:pPr>
  </w:style>
</w:styles>
</file>

<file path=word/webSettings.xml><?xml version="1.0" encoding="utf-8"?>
<w:webSettings xmlns:r="http://schemas.openxmlformats.org/officeDocument/2006/relationships" xmlns:w="http://schemas.openxmlformats.org/wordprocessingml/2006/main">
  <w:divs>
    <w:div w:id="272129950">
      <w:bodyDiv w:val="1"/>
      <w:marLeft w:val="0"/>
      <w:marRight w:val="0"/>
      <w:marTop w:val="0"/>
      <w:marBottom w:val="0"/>
      <w:divBdr>
        <w:top w:val="none" w:sz="0" w:space="0" w:color="auto"/>
        <w:left w:val="none" w:sz="0" w:space="0" w:color="auto"/>
        <w:bottom w:val="none" w:sz="0" w:space="0" w:color="auto"/>
        <w:right w:val="none" w:sz="0" w:space="0" w:color="auto"/>
      </w:divBdr>
    </w:div>
    <w:div w:id="373581943">
      <w:bodyDiv w:val="1"/>
      <w:marLeft w:val="0"/>
      <w:marRight w:val="0"/>
      <w:marTop w:val="0"/>
      <w:marBottom w:val="0"/>
      <w:divBdr>
        <w:top w:val="none" w:sz="0" w:space="0" w:color="auto"/>
        <w:left w:val="none" w:sz="0" w:space="0" w:color="auto"/>
        <w:bottom w:val="none" w:sz="0" w:space="0" w:color="auto"/>
        <w:right w:val="none" w:sz="0" w:space="0" w:color="auto"/>
      </w:divBdr>
      <w:divsChild>
        <w:div w:id="1392465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630</Words>
  <Characters>3469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8</cp:revision>
  <dcterms:created xsi:type="dcterms:W3CDTF">2016-06-05T08:51:00Z</dcterms:created>
  <dcterms:modified xsi:type="dcterms:W3CDTF">2016-06-08T16:23:00Z</dcterms:modified>
</cp:coreProperties>
</file>