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BC4" w:rsidRPr="000B4BC4" w:rsidRDefault="00236147" w:rsidP="000B4BC4">
      <w:pPr>
        <w:jc w:val="center"/>
        <w:rPr>
          <w:b/>
          <w:color w:val="4F81BD" w:themeColor="accent1"/>
          <w:sz w:val="32"/>
          <w:szCs w:val="32"/>
        </w:rPr>
      </w:pPr>
      <w:r>
        <w:rPr>
          <w:b/>
          <w:color w:val="4F81BD" w:themeColor="accent1"/>
          <w:sz w:val="32"/>
          <w:szCs w:val="32"/>
        </w:rPr>
        <w:t>Le chômage : des coûts salariaux trop élevés ou une insuffisance de la demande</w:t>
      </w:r>
      <w:r w:rsidR="000B4BC4" w:rsidRPr="000B4BC4">
        <w:rPr>
          <w:b/>
          <w:color w:val="4F81BD" w:themeColor="accent1"/>
          <w:sz w:val="32"/>
          <w:szCs w:val="32"/>
        </w:rPr>
        <w:t xml:space="preserve"> ? (1/</w:t>
      </w:r>
      <w:r>
        <w:rPr>
          <w:b/>
          <w:color w:val="4F81BD" w:themeColor="accent1"/>
          <w:sz w:val="32"/>
          <w:szCs w:val="32"/>
        </w:rPr>
        <w:t>3</w:t>
      </w:r>
      <w:r w:rsidR="000B4BC4" w:rsidRPr="000B4BC4">
        <w:rPr>
          <w:b/>
          <w:color w:val="4F81BD" w:themeColor="accent1"/>
          <w:sz w:val="32"/>
          <w:szCs w:val="32"/>
        </w:rPr>
        <w:t>)</w:t>
      </w:r>
    </w:p>
    <w:p w:rsidR="000B4BC4" w:rsidRPr="000B4BC4" w:rsidRDefault="00236147" w:rsidP="000B4BC4">
      <w:pPr>
        <w:jc w:val="center"/>
        <w:rPr>
          <w:b/>
          <w:color w:val="4F81BD" w:themeColor="accent1"/>
          <w:sz w:val="32"/>
          <w:szCs w:val="32"/>
        </w:rPr>
      </w:pPr>
      <w:r>
        <w:rPr>
          <w:b/>
          <w:color w:val="4F81BD" w:themeColor="accent1"/>
          <w:sz w:val="32"/>
          <w:szCs w:val="32"/>
        </w:rPr>
        <w:t>Emploi et chômage</w:t>
      </w:r>
    </w:p>
    <w:p w:rsidR="001A48D1" w:rsidRDefault="001A48D1"/>
    <w:tbl>
      <w:tblPr>
        <w:tblStyle w:val="Grilledutableau"/>
        <w:tblW w:w="0" w:type="auto"/>
        <w:tblLook w:val="04A0"/>
      </w:tblPr>
      <w:tblGrid>
        <w:gridCol w:w="9210"/>
      </w:tblGrid>
      <w:tr w:rsidR="00366AAF" w:rsidTr="00366AAF">
        <w:tc>
          <w:tcPr>
            <w:tcW w:w="9210" w:type="dxa"/>
          </w:tcPr>
          <w:p w:rsidR="00934528" w:rsidRPr="00A83812" w:rsidRDefault="00934528" w:rsidP="00934528">
            <w:pPr>
              <w:rPr>
                <w:b/>
                <w:u w:val="single"/>
              </w:rPr>
            </w:pPr>
            <w:r w:rsidRPr="00A83812">
              <w:rPr>
                <w:b/>
                <w:u w:val="single"/>
              </w:rPr>
              <w:t>Synthèse collective évaluée :</w:t>
            </w:r>
          </w:p>
          <w:p w:rsidR="00934528" w:rsidRDefault="00934528" w:rsidP="00934528"/>
          <w:p w:rsidR="00366AAF" w:rsidRDefault="00934528" w:rsidP="00934528">
            <w:r w:rsidRPr="00913EA6">
              <w:rPr>
                <w:b/>
              </w:rPr>
              <w:t xml:space="preserve">En vous aidant </w:t>
            </w:r>
            <w:r>
              <w:rPr>
                <w:b/>
              </w:rPr>
              <w:t>du module en ligne</w:t>
            </w:r>
            <w:r w:rsidRPr="00913EA6">
              <w:rPr>
                <w:b/>
              </w:rPr>
              <w:t xml:space="preserve"> et de vos réponses aux </w:t>
            </w:r>
            <w:r>
              <w:rPr>
                <w:b/>
              </w:rPr>
              <w:t>questions accompagnant les</w:t>
            </w:r>
            <w:r w:rsidRPr="00913EA6">
              <w:rPr>
                <w:b/>
              </w:rPr>
              <w:t xml:space="preserve"> documents </w:t>
            </w:r>
            <w:r>
              <w:rPr>
                <w:b/>
              </w:rPr>
              <w:t>suivants</w:t>
            </w:r>
            <w:r w:rsidRPr="00913EA6">
              <w:rPr>
                <w:b/>
              </w:rPr>
              <w:t xml:space="preserve"> </w:t>
            </w:r>
            <w:r>
              <w:rPr>
                <w:b/>
              </w:rPr>
              <w:t>comment pourrait-on expliquer l’évolution du chômage en France depuis 1975 ?</w:t>
            </w:r>
          </w:p>
        </w:tc>
      </w:tr>
    </w:tbl>
    <w:p w:rsidR="000B4BC4" w:rsidRDefault="000B4BC4"/>
    <w:p w:rsidR="000B4BC4" w:rsidRDefault="000B4BC4">
      <w:pPr>
        <w:rPr>
          <w:b/>
        </w:rPr>
      </w:pPr>
      <w:r w:rsidRPr="003648B1">
        <w:rPr>
          <w:b/>
        </w:rPr>
        <w:t>Document 1</w:t>
      </w:r>
    </w:p>
    <w:p w:rsidR="000B4BC4" w:rsidRDefault="00835D77">
      <w:r>
        <w:rPr>
          <w:noProof/>
        </w:rPr>
        <w:drawing>
          <wp:inline distT="0" distB="0" distL="0" distR="0">
            <wp:extent cx="5759450" cy="3763010"/>
            <wp:effectExtent l="19050" t="0" r="0" b="0"/>
            <wp:docPr id="3" name="Image 2" descr="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png"/>
                    <pic:cNvPicPr/>
                  </pic:nvPicPr>
                  <pic:blipFill>
                    <a:blip r:embed="rId8" cstate="print"/>
                    <a:stretch>
                      <a:fillRect/>
                    </a:stretch>
                  </pic:blipFill>
                  <pic:spPr>
                    <a:xfrm>
                      <a:off x="0" y="0"/>
                      <a:ext cx="5759450" cy="3763010"/>
                    </a:xfrm>
                    <a:prstGeom prst="rect">
                      <a:avLst/>
                    </a:prstGeom>
                  </pic:spPr>
                </pic:pic>
              </a:graphicData>
            </a:graphic>
          </wp:inline>
        </w:drawing>
      </w:r>
    </w:p>
    <w:p w:rsidR="00643DF5" w:rsidRPr="00835D77" w:rsidRDefault="00835D77" w:rsidP="00835D77">
      <w:pPr>
        <w:jc w:val="right"/>
        <w:rPr>
          <w:b/>
          <w:i/>
        </w:rPr>
      </w:pPr>
      <w:r w:rsidRPr="00835D77">
        <w:rPr>
          <w:b/>
          <w:i/>
        </w:rPr>
        <w:t xml:space="preserve">Source : </w:t>
      </w:r>
      <w:hyperlink r:id="rId9" w:history="1">
        <w:r w:rsidRPr="00835D77">
          <w:rPr>
            <w:rStyle w:val="Lienhypertexte"/>
            <w:b/>
            <w:i/>
          </w:rPr>
          <w:t>INSEE, Comptes nationaux (base 2010) - juin 2014 (tableaux 6.202 ; 6.209)</w:t>
        </w:r>
      </w:hyperlink>
    </w:p>
    <w:p w:rsidR="00835D77" w:rsidRDefault="00835D77"/>
    <w:p w:rsidR="00236147" w:rsidRPr="00B8046E" w:rsidRDefault="00835D77">
      <w:pPr>
        <w:rPr>
          <w:rStyle w:val="txt"/>
          <w:sz w:val="16"/>
          <w:szCs w:val="16"/>
        </w:rPr>
      </w:pPr>
      <w:r w:rsidRPr="00B8046E">
        <w:rPr>
          <w:rStyle w:val="txt"/>
          <w:b/>
          <w:sz w:val="16"/>
          <w:szCs w:val="16"/>
          <w:u w:val="single"/>
        </w:rPr>
        <w:t>Note</w:t>
      </w:r>
      <w:r w:rsidR="00236147" w:rsidRPr="00B8046E">
        <w:rPr>
          <w:rStyle w:val="txt"/>
          <w:b/>
          <w:sz w:val="16"/>
          <w:szCs w:val="16"/>
          <w:u w:val="single"/>
        </w:rPr>
        <w:t>s</w:t>
      </w:r>
      <w:proofErr w:type="gramStart"/>
      <w:r w:rsidR="00236147" w:rsidRPr="00B8046E">
        <w:rPr>
          <w:rStyle w:val="txt"/>
          <w:b/>
          <w:sz w:val="16"/>
          <w:szCs w:val="16"/>
          <w:u w:val="single"/>
        </w:rPr>
        <w:t> </w:t>
      </w:r>
      <w:r w:rsidRPr="00B8046E">
        <w:rPr>
          <w:rStyle w:val="txt"/>
          <w:b/>
          <w:sz w:val="16"/>
          <w:szCs w:val="16"/>
          <w:u w:val="single"/>
        </w:rPr>
        <w:t xml:space="preserve"> :</w:t>
      </w:r>
      <w:proofErr w:type="gramEnd"/>
      <w:r w:rsidRPr="00B8046E">
        <w:rPr>
          <w:rStyle w:val="txt"/>
          <w:sz w:val="16"/>
          <w:szCs w:val="16"/>
        </w:rPr>
        <w:t xml:space="preserve"> </w:t>
      </w:r>
    </w:p>
    <w:p w:rsidR="00835D77" w:rsidRPr="005D7229" w:rsidRDefault="00236147" w:rsidP="005D7229">
      <w:pPr>
        <w:pStyle w:val="Paragraphedeliste"/>
        <w:numPr>
          <w:ilvl w:val="0"/>
          <w:numId w:val="12"/>
        </w:numPr>
        <w:rPr>
          <w:rStyle w:val="txt"/>
          <w:sz w:val="16"/>
          <w:szCs w:val="16"/>
        </w:rPr>
      </w:pPr>
      <w:r w:rsidRPr="005D7229">
        <w:rPr>
          <w:rStyle w:val="txt"/>
          <w:sz w:val="16"/>
          <w:szCs w:val="16"/>
        </w:rPr>
        <w:t>L</w:t>
      </w:r>
      <w:r w:rsidR="00835D77" w:rsidRPr="005D7229">
        <w:rPr>
          <w:rStyle w:val="txt"/>
          <w:sz w:val="16"/>
          <w:szCs w:val="16"/>
        </w:rPr>
        <w:t xml:space="preserve">e graphique inverse les valeurs du taux de variation de la productivité </w:t>
      </w:r>
      <w:r w:rsidR="00C015AA" w:rsidRPr="005D7229">
        <w:rPr>
          <w:rStyle w:val="txt"/>
          <w:sz w:val="16"/>
          <w:szCs w:val="16"/>
        </w:rPr>
        <w:t>par tête</w:t>
      </w:r>
      <w:r w:rsidR="00835D77" w:rsidRPr="005D7229">
        <w:rPr>
          <w:rStyle w:val="txt"/>
          <w:sz w:val="16"/>
          <w:szCs w:val="16"/>
        </w:rPr>
        <w:t xml:space="preserve"> pour montrer son effet négatif sur le taux de variation de l’emploi. Par exemple, pour l'année 2000, la productivité </w:t>
      </w:r>
      <w:r w:rsidR="00C015AA" w:rsidRPr="005D7229">
        <w:rPr>
          <w:rStyle w:val="txt"/>
          <w:sz w:val="16"/>
          <w:szCs w:val="16"/>
        </w:rPr>
        <w:t>par tête</w:t>
      </w:r>
      <w:r w:rsidR="00835D77" w:rsidRPr="005D7229">
        <w:rPr>
          <w:rStyle w:val="txt"/>
          <w:sz w:val="16"/>
          <w:szCs w:val="16"/>
        </w:rPr>
        <w:t xml:space="preserve"> s'est accrue de 1,1 %. Cette évolution réduit donc, toutes choses égales par ailleurs, </w:t>
      </w:r>
      <w:r w:rsidRPr="005D7229">
        <w:rPr>
          <w:rStyle w:val="txt"/>
          <w:sz w:val="16"/>
          <w:szCs w:val="16"/>
        </w:rPr>
        <w:t>l’emploi</w:t>
      </w:r>
      <w:r w:rsidR="00835D77" w:rsidRPr="005D7229">
        <w:rPr>
          <w:rStyle w:val="txt"/>
          <w:sz w:val="16"/>
          <w:szCs w:val="16"/>
        </w:rPr>
        <w:t xml:space="preserve"> de 1,1 %, ce qu'indique le graphique.</w:t>
      </w:r>
    </w:p>
    <w:p w:rsidR="00236147" w:rsidRPr="005D7229" w:rsidRDefault="00236147" w:rsidP="005D7229">
      <w:pPr>
        <w:pStyle w:val="Paragraphedeliste"/>
        <w:numPr>
          <w:ilvl w:val="0"/>
          <w:numId w:val="12"/>
        </w:numPr>
        <w:rPr>
          <w:sz w:val="16"/>
          <w:szCs w:val="16"/>
        </w:rPr>
      </w:pPr>
      <w:r w:rsidRPr="005D7229">
        <w:rPr>
          <w:rStyle w:val="txt"/>
          <w:rFonts w:cs="Times New Roman"/>
          <w:sz w:val="16"/>
          <w:szCs w:val="16"/>
        </w:rPr>
        <w:t>É</w:t>
      </w:r>
      <w:r w:rsidRPr="005D7229">
        <w:rPr>
          <w:rStyle w:val="txt"/>
          <w:sz w:val="16"/>
          <w:szCs w:val="16"/>
        </w:rPr>
        <w:t xml:space="preserve">quivalents temps plein : </w:t>
      </w:r>
      <w:r w:rsidRPr="005D7229">
        <w:rPr>
          <w:sz w:val="16"/>
          <w:szCs w:val="16"/>
        </w:rPr>
        <w:t>l'emploi intérieur en « équivalents temps plein » prend notamment en compte le temps partiel : deux personnes travaillant à mi-temps sont par exemple comptabilisées pour un seul équivalent temps plein. Le nombre d'emplois en équivalent temps plein est ainsi inférieur à l'emploi comptabilisé en personnes physiques. Cela permet de mieux apprécier l’évolution de l’emploi sur longue période lorsqu’il y a une modification du nombre d’emplois à temps partiel.</w:t>
      </w:r>
    </w:p>
    <w:p w:rsidR="00643DF5" w:rsidRDefault="00643DF5"/>
    <w:p w:rsidR="00236147" w:rsidRDefault="00C015AA" w:rsidP="00236147">
      <w:pPr>
        <w:pStyle w:val="Paragraphedeliste"/>
        <w:numPr>
          <w:ilvl w:val="0"/>
          <w:numId w:val="11"/>
        </w:numPr>
      </w:pPr>
      <w:r>
        <w:t>La productivité par tête diminue-t-elle en 1989 ?</w:t>
      </w:r>
    </w:p>
    <w:p w:rsidR="00C015AA" w:rsidRDefault="00144695" w:rsidP="00236147">
      <w:pPr>
        <w:pStyle w:val="Paragraphedeliste"/>
        <w:numPr>
          <w:ilvl w:val="0"/>
          <w:numId w:val="11"/>
        </w:numPr>
      </w:pPr>
      <w:r>
        <w:t>Pourriez-vous établir une relation mathématique entre les trois variables présentes dans le graphique. Utilisez les valeurs affichées pour l’année 1989.</w:t>
      </w:r>
    </w:p>
    <w:p w:rsidR="00144695" w:rsidRDefault="00144695" w:rsidP="00236147">
      <w:pPr>
        <w:pStyle w:val="Paragraphedeliste"/>
        <w:numPr>
          <w:ilvl w:val="0"/>
          <w:numId w:val="11"/>
        </w:numPr>
      </w:pPr>
      <w:r>
        <w:t>Quelle est l’année au cours de laquelle l’emploi augmente le plus vite ?</w:t>
      </w:r>
    </w:p>
    <w:p w:rsidR="00144695" w:rsidRPr="00144695" w:rsidRDefault="00144695" w:rsidP="00144695">
      <w:pPr>
        <w:rPr>
          <w:b/>
        </w:rPr>
      </w:pPr>
      <w:r w:rsidRPr="00144695">
        <w:rPr>
          <w:b/>
        </w:rPr>
        <w:t xml:space="preserve">Document </w:t>
      </w:r>
      <w:r>
        <w:rPr>
          <w:b/>
        </w:rPr>
        <w:t>2</w:t>
      </w:r>
    </w:p>
    <w:p w:rsidR="00144695" w:rsidRDefault="00144695" w:rsidP="00144695"/>
    <w:p w:rsidR="00475E59" w:rsidRPr="00475E59" w:rsidRDefault="00475E59" w:rsidP="00475E59">
      <w:pPr>
        <w:jc w:val="center"/>
        <w:rPr>
          <w:b/>
        </w:rPr>
      </w:pPr>
      <w:r w:rsidRPr="00475E59">
        <w:rPr>
          <w:rFonts w:cs="Times New Roman"/>
          <w:b/>
        </w:rPr>
        <w:t>É</w:t>
      </w:r>
      <w:r w:rsidRPr="00475E59">
        <w:rPr>
          <w:b/>
        </w:rPr>
        <w:t>volution du nombre de naissances vivantes et du solde migratoire en France métropolitaine</w:t>
      </w:r>
    </w:p>
    <w:p w:rsidR="00144695" w:rsidRDefault="00AB663F" w:rsidP="00144695">
      <w:r>
        <w:rPr>
          <w:noProof/>
        </w:rPr>
        <w:lastRenderedPageBreak/>
        <w:drawing>
          <wp:inline distT="0" distB="0" distL="0" distR="0">
            <wp:extent cx="5759450" cy="3761105"/>
            <wp:effectExtent l="19050" t="0" r="0" b="0"/>
            <wp:docPr id="1" name="Image 0" descr="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png"/>
                    <pic:cNvPicPr/>
                  </pic:nvPicPr>
                  <pic:blipFill>
                    <a:blip r:embed="rId10" cstate="print"/>
                    <a:stretch>
                      <a:fillRect/>
                    </a:stretch>
                  </pic:blipFill>
                  <pic:spPr>
                    <a:xfrm>
                      <a:off x="0" y="0"/>
                      <a:ext cx="5759450" cy="3761105"/>
                    </a:xfrm>
                    <a:prstGeom prst="rect">
                      <a:avLst/>
                    </a:prstGeom>
                  </pic:spPr>
                </pic:pic>
              </a:graphicData>
            </a:graphic>
          </wp:inline>
        </w:drawing>
      </w:r>
    </w:p>
    <w:p w:rsidR="00475E59" w:rsidRPr="00475E59" w:rsidRDefault="00475E59" w:rsidP="00475E59">
      <w:pPr>
        <w:jc w:val="left"/>
      </w:pPr>
      <w:r>
        <w:t>Champ : France métropolitaine</w:t>
      </w:r>
    </w:p>
    <w:p w:rsidR="00475E59" w:rsidRDefault="00475E59" w:rsidP="00475E59">
      <w:pPr>
        <w:jc w:val="right"/>
        <w:rPr>
          <w:b/>
          <w:i/>
        </w:rPr>
      </w:pPr>
      <w:r w:rsidRPr="00475E59">
        <w:rPr>
          <w:b/>
          <w:i/>
        </w:rPr>
        <w:t xml:space="preserve">Source : INSEE, banque de données macro-économiques </w:t>
      </w:r>
    </w:p>
    <w:p w:rsidR="00144695" w:rsidRPr="00475E59" w:rsidRDefault="00475E59" w:rsidP="00475E59">
      <w:pPr>
        <w:jc w:val="right"/>
        <w:rPr>
          <w:b/>
          <w:i/>
        </w:rPr>
      </w:pPr>
      <w:r w:rsidRPr="00475E59">
        <w:rPr>
          <w:b/>
          <w:i/>
        </w:rPr>
        <w:t>(</w:t>
      </w:r>
      <w:proofErr w:type="gramStart"/>
      <w:r w:rsidRPr="00475E59">
        <w:rPr>
          <w:b/>
          <w:i/>
        </w:rPr>
        <w:t>séries</w:t>
      </w:r>
      <w:proofErr w:type="gramEnd"/>
      <w:r w:rsidRPr="00475E59">
        <w:rPr>
          <w:b/>
          <w:i/>
        </w:rPr>
        <w:t xml:space="preserve"> : </w:t>
      </w:r>
      <w:hyperlink r:id="rId11" w:history="1">
        <w:r w:rsidRPr="00475E59">
          <w:rPr>
            <w:rStyle w:val="Lienhypertexte"/>
            <w:b/>
            <w:i/>
          </w:rPr>
          <w:t>000067677</w:t>
        </w:r>
      </w:hyperlink>
      <w:r w:rsidRPr="00475E59">
        <w:rPr>
          <w:b/>
          <w:i/>
        </w:rPr>
        <w:t xml:space="preserve"> et </w:t>
      </w:r>
      <w:hyperlink r:id="rId12" w:history="1">
        <w:r w:rsidRPr="00475E59">
          <w:rPr>
            <w:rStyle w:val="Lienhypertexte"/>
            <w:b/>
            <w:i/>
          </w:rPr>
          <w:t>001002693</w:t>
        </w:r>
      </w:hyperlink>
      <w:r w:rsidRPr="00475E59">
        <w:rPr>
          <w:b/>
          <w:i/>
        </w:rPr>
        <w:t>)</w:t>
      </w:r>
    </w:p>
    <w:p w:rsidR="00475E59" w:rsidRDefault="00475E59" w:rsidP="00144695"/>
    <w:p w:rsidR="00475E59" w:rsidRDefault="00475E59" w:rsidP="00475E59">
      <w:pPr>
        <w:pStyle w:val="Paragraphedeliste"/>
        <w:numPr>
          <w:ilvl w:val="0"/>
          <w:numId w:val="13"/>
        </w:numPr>
      </w:pPr>
      <w:r>
        <w:t>Quel était approximativement le nombre de naissances vivantes en France métropolitaine en 2014 ?</w:t>
      </w:r>
    </w:p>
    <w:p w:rsidR="00475E59" w:rsidRDefault="00475E59" w:rsidP="00475E59">
      <w:pPr>
        <w:pStyle w:val="Paragraphedeliste"/>
        <w:numPr>
          <w:ilvl w:val="0"/>
          <w:numId w:val="13"/>
        </w:numPr>
      </w:pPr>
      <w:r>
        <w:t>Rappelez ce qu’est un solde migratoire ?</w:t>
      </w:r>
    </w:p>
    <w:p w:rsidR="00475E59" w:rsidRDefault="00475E59" w:rsidP="00475E59">
      <w:pPr>
        <w:pStyle w:val="Paragraphedeliste"/>
        <w:numPr>
          <w:ilvl w:val="0"/>
          <w:numId w:val="13"/>
        </w:numPr>
      </w:pPr>
      <w:r>
        <w:t xml:space="preserve">Quel était approximativement la valeur du solde migratoire en France métropolitaine en 2014 ? </w:t>
      </w:r>
    </w:p>
    <w:p w:rsidR="00475E59" w:rsidRDefault="00475E59" w:rsidP="00475E59">
      <w:pPr>
        <w:pStyle w:val="Paragraphedeliste"/>
        <w:numPr>
          <w:ilvl w:val="0"/>
          <w:numId w:val="13"/>
        </w:numPr>
      </w:pPr>
      <w:r>
        <w:t>Si l’on suppose qu’en 2014 l’âge moyen de sortie de l’école était de 20 ans</w:t>
      </w:r>
      <w:r w:rsidR="00472008">
        <w:t xml:space="preserve"> (personnes nées en 1994), peut-on à l’aide du graphique prédire l’évolution du nombre de personnes d’âge actif dans les dix prochaines années si cet âge moyen de sortie de l’école ne se modifie pas ?</w:t>
      </w:r>
    </w:p>
    <w:p w:rsidR="00472008" w:rsidRDefault="00472008" w:rsidP="00472008">
      <w:pPr>
        <w:pStyle w:val="Paragraphedeliste"/>
        <w:numPr>
          <w:ilvl w:val="0"/>
          <w:numId w:val="13"/>
        </w:numPr>
      </w:pPr>
      <w:r>
        <w:t>Si l’on suppose qu’en 2014 l’âge moyen de départ à la retraite était de 62 ans (personnes nées en 1952), peut-on à l’aide du graphique prédire l’évolution du nombre de personnes d’âge actif dans les dix prochaines années si cet âge moyen de départ à la retraite ne se modifie pas ?</w:t>
      </w:r>
    </w:p>
    <w:p w:rsidR="00472008" w:rsidRDefault="00AB663F" w:rsidP="00475E59">
      <w:pPr>
        <w:pStyle w:val="Paragraphedeliste"/>
        <w:numPr>
          <w:ilvl w:val="0"/>
          <w:numId w:val="13"/>
        </w:numPr>
      </w:pPr>
      <w:r>
        <w:t>Si l’on suppose que le solde migratoire n’évoluera pas significativement dans les dix prochaines années, quelles prévisions pouvez-vous faire quant à l’effet des évolutions démographiques sur l’offre de travail ?</w:t>
      </w:r>
    </w:p>
    <w:p w:rsidR="005E2BA0" w:rsidRDefault="005E2BA0">
      <w:pPr>
        <w:widowControl/>
        <w:autoSpaceDE/>
        <w:autoSpaceDN/>
        <w:adjustRightInd/>
        <w:spacing w:after="200" w:line="276" w:lineRule="auto"/>
        <w:jc w:val="left"/>
      </w:pPr>
      <w:r>
        <w:br w:type="page"/>
      </w:r>
    </w:p>
    <w:p w:rsidR="005E2BA0" w:rsidRPr="00144695" w:rsidRDefault="005E2BA0" w:rsidP="005E2BA0">
      <w:pPr>
        <w:rPr>
          <w:b/>
        </w:rPr>
      </w:pPr>
      <w:r w:rsidRPr="00144695">
        <w:rPr>
          <w:b/>
        </w:rPr>
        <w:lastRenderedPageBreak/>
        <w:t xml:space="preserve">Document </w:t>
      </w:r>
      <w:r>
        <w:rPr>
          <w:b/>
        </w:rPr>
        <w:t>3</w:t>
      </w:r>
    </w:p>
    <w:p w:rsidR="00475E59" w:rsidRDefault="00475E59" w:rsidP="00144695"/>
    <w:p w:rsidR="005E2BA0" w:rsidRDefault="005E2BA0" w:rsidP="00144695">
      <w:r>
        <w:rPr>
          <w:noProof/>
        </w:rPr>
        <w:drawing>
          <wp:inline distT="0" distB="0" distL="0" distR="0">
            <wp:extent cx="5759450" cy="3763010"/>
            <wp:effectExtent l="19050" t="0" r="0" b="0"/>
            <wp:docPr id="2" name="Image 1" descr="G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png"/>
                    <pic:cNvPicPr/>
                  </pic:nvPicPr>
                  <pic:blipFill>
                    <a:blip r:embed="rId13" cstate="print"/>
                    <a:stretch>
                      <a:fillRect/>
                    </a:stretch>
                  </pic:blipFill>
                  <pic:spPr>
                    <a:xfrm>
                      <a:off x="0" y="0"/>
                      <a:ext cx="5759450" cy="3763010"/>
                    </a:xfrm>
                    <a:prstGeom prst="rect">
                      <a:avLst/>
                    </a:prstGeom>
                  </pic:spPr>
                </pic:pic>
              </a:graphicData>
            </a:graphic>
          </wp:inline>
        </w:drawing>
      </w:r>
    </w:p>
    <w:p w:rsidR="00BC100A" w:rsidRDefault="00BC100A" w:rsidP="00144695">
      <w:r>
        <w:t>Champ : France métropolitaine.</w:t>
      </w:r>
    </w:p>
    <w:p w:rsidR="005E2BA0" w:rsidRDefault="005E2BA0" w:rsidP="005E2BA0">
      <w:pPr>
        <w:jc w:val="right"/>
        <w:rPr>
          <w:b/>
          <w:i/>
        </w:rPr>
      </w:pPr>
      <w:r w:rsidRPr="00475E59">
        <w:rPr>
          <w:b/>
          <w:i/>
        </w:rPr>
        <w:t xml:space="preserve">Source : INSEE, banque de données macro-économiques </w:t>
      </w:r>
    </w:p>
    <w:p w:rsidR="005E2BA0" w:rsidRPr="00475E59" w:rsidRDefault="005E2BA0" w:rsidP="005E2BA0">
      <w:pPr>
        <w:jc w:val="right"/>
        <w:rPr>
          <w:b/>
          <w:i/>
        </w:rPr>
      </w:pPr>
      <w:r w:rsidRPr="00475E59">
        <w:rPr>
          <w:b/>
          <w:i/>
        </w:rPr>
        <w:t>(</w:t>
      </w:r>
      <w:proofErr w:type="gramStart"/>
      <w:r w:rsidRPr="00475E59">
        <w:rPr>
          <w:b/>
          <w:i/>
        </w:rPr>
        <w:t>séries</w:t>
      </w:r>
      <w:proofErr w:type="gramEnd"/>
      <w:r>
        <w:rPr>
          <w:b/>
          <w:i/>
        </w:rPr>
        <w:t xml:space="preserve"> : </w:t>
      </w:r>
      <w:hyperlink r:id="rId14" w:history="1">
        <w:r w:rsidRPr="005E2BA0">
          <w:rPr>
            <w:rStyle w:val="Lienhypertexte"/>
          </w:rPr>
          <w:t>001665069, 001665070, 001665072, 001665073, 001665075, 001665076, 001665080</w:t>
        </w:r>
      </w:hyperlink>
      <w:r w:rsidRPr="00475E59">
        <w:rPr>
          <w:b/>
          <w:i/>
        </w:rPr>
        <w:t>)</w:t>
      </w:r>
    </w:p>
    <w:p w:rsidR="005E2BA0" w:rsidRDefault="005E2BA0" w:rsidP="00144695"/>
    <w:p w:rsidR="00AE78C9" w:rsidRDefault="00AE78C9" w:rsidP="00AE78C9">
      <w:pPr>
        <w:pStyle w:val="Paragraphedeliste"/>
        <w:numPr>
          <w:ilvl w:val="0"/>
          <w:numId w:val="14"/>
        </w:numPr>
      </w:pPr>
      <w:r>
        <w:t>Comment calcule-t-on un taux d’activité ?</w:t>
      </w:r>
    </w:p>
    <w:p w:rsidR="00AE78C9" w:rsidRDefault="00AE78C9" w:rsidP="00AE78C9">
      <w:pPr>
        <w:pStyle w:val="Paragraphedeliste"/>
        <w:numPr>
          <w:ilvl w:val="0"/>
          <w:numId w:val="14"/>
        </w:numPr>
      </w:pPr>
      <w:r>
        <w:t>Comment évolue le taux d’activité des 15-64 ans depuis 1975 ?</w:t>
      </w:r>
    </w:p>
    <w:p w:rsidR="00AE78C9" w:rsidRDefault="00AE78C9" w:rsidP="00AE78C9">
      <w:pPr>
        <w:pStyle w:val="Paragraphedeliste"/>
        <w:numPr>
          <w:ilvl w:val="0"/>
          <w:numId w:val="14"/>
        </w:numPr>
      </w:pPr>
      <w:r>
        <w:t>Si l’on projette les tendances des dix dernières années en matière de taux d’activité vers les dix prochaines années, quelles sont les catégories de population qui pourraient augmenter l’offre de travail et quelles seraient celles qui pourraient la réduire ?</w:t>
      </w:r>
    </w:p>
    <w:p w:rsidR="00AE78C9" w:rsidRDefault="00AE78C9" w:rsidP="00AE78C9">
      <w:pPr>
        <w:pStyle w:val="Paragraphedeliste"/>
        <w:numPr>
          <w:ilvl w:val="0"/>
          <w:numId w:val="14"/>
        </w:numPr>
      </w:pPr>
      <w:r>
        <w:t>Dans l’ensemble, l’évolution des comportements de la population en matière de taux d’activité devraient-ils accroître ou réduire l’offre de travail dans les dix ans à venir ?</w:t>
      </w:r>
    </w:p>
    <w:p w:rsidR="003A5FEC" w:rsidRDefault="003A5FEC" w:rsidP="003A5FEC"/>
    <w:p w:rsidR="003A5FEC" w:rsidRDefault="003A5FEC">
      <w:pPr>
        <w:widowControl/>
        <w:autoSpaceDE/>
        <w:autoSpaceDN/>
        <w:adjustRightInd/>
        <w:spacing w:after="200" w:line="276" w:lineRule="auto"/>
        <w:jc w:val="left"/>
      </w:pPr>
      <w:r>
        <w:br w:type="page"/>
      </w:r>
    </w:p>
    <w:p w:rsidR="003A5FEC" w:rsidRPr="00144695" w:rsidRDefault="003A5FEC" w:rsidP="003A5FEC">
      <w:pPr>
        <w:rPr>
          <w:b/>
        </w:rPr>
      </w:pPr>
      <w:r w:rsidRPr="00144695">
        <w:rPr>
          <w:b/>
        </w:rPr>
        <w:lastRenderedPageBreak/>
        <w:t xml:space="preserve">Document </w:t>
      </w:r>
      <w:r>
        <w:rPr>
          <w:b/>
        </w:rPr>
        <w:t>4</w:t>
      </w:r>
    </w:p>
    <w:p w:rsidR="003A5FEC" w:rsidRDefault="003A5FEC" w:rsidP="003A5FEC"/>
    <w:p w:rsidR="003A5FEC" w:rsidRDefault="003A5FEC" w:rsidP="003A5FEC">
      <w:r>
        <w:rPr>
          <w:noProof/>
        </w:rPr>
        <w:drawing>
          <wp:inline distT="0" distB="0" distL="0" distR="0">
            <wp:extent cx="5759450" cy="3763010"/>
            <wp:effectExtent l="19050" t="0" r="0" b="0"/>
            <wp:docPr id="5" name="Image 4" descr="G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png"/>
                    <pic:cNvPicPr/>
                  </pic:nvPicPr>
                  <pic:blipFill>
                    <a:blip r:embed="rId15" cstate="print"/>
                    <a:stretch>
                      <a:fillRect/>
                    </a:stretch>
                  </pic:blipFill>
                  <pic:spPr>
                    <a:xfrm>
                      <a:off x="0" y="0"/>
                      <a:ext cx="5759450" cy="3763010"/>
                    </a:xfrm>
                    <a:prstGeom prst="rect">
                      <a:avLst/>
                    </a:prstGeom>
                  </pic:spPr>
                </pic:pic>
              </a:graphicData>
            </a:graphic>
          </wp:inline>
        </w:drawing>
      </w:r>
    </w:p>
    <w:p w:rsidR="003A5FEC" w:rsidRDefault="003A5FEC" w:rsidP="003A5FEC">
      <w:r>
        <w:t>Champ : France métropolitaine.</w:t>
      </w:r>
    </w:p>
    <w:p w:rsidR="003A5FEC" w:rsidRDefault="003A5FEC" w:rsidP="003A5FEC">
      <w:r>
        <w:t>Note : les données sont en milliers.</w:t>
      </w:r>
    </w:p>
    <w:p w:rsidR="003A5FEC" w:rsidRDefault="003A5FEC" w:rsidP="003A5FEC">
      <w:pPr>
        <w:jc w:val="right"/>
        <w:rPr>
          <w:b/>
          <w:i/>
        </w:rPr>
      </w:pPr>
      <w:r w:rsidRPr="00475E59">
        <w:rPr>
          <w:b/>
          <w:i/>
        </w:rPr>
        <w:t xml:space="preserve">Source : INSEE, banque de données macro-économiques </w:t>
      </w:r>
    </w:p>
    <w:p w:rsidR="003A5FEC" w:rsidRDefault="003A5FEC" w:rsidP="003A5FEC">
      <w:pPr>
        <w:jc w:val="right"/>
        <w:rPr>
          <w:b/>
          <w:i/>
        </w:rPr>
      </w:pPr>
      <w:r w:rsidRPr="00475E59">
        <w:rPr>
          <w:b/>
          <w:i/>
        </w:rPr>
        <w:t>(</w:t>
      </w:r>
      <w:proofErr w:type="gramStart"/>
      <w:r w:rsidRPr="00475E59">
        <w:rPr>
          <w:b/>
          <w:i/>
        </w:rPr>
        <w:t>séries</w:t>
      </w:r>
      <w:proofErr w:type="gramEnd"/>
      <w:r>
        <w:rPr>
          <w:b/>
          <w:i/>
        </w:rPr>
        <w:t xml:space="preserve"> : </w:t>
      </w:r>
      <w:hyperlink r:id="rId16" w:history="1">
        <w:r w:rsidRPr="003A5FEC">
          <w:rPr>
            <w:rStyle w:val="Lienhypertexte"/>
            <w:b/>
            <w:i/>
          </w:rPr>
          <w:t>001665064</w:t>
        </w:r>
      </w:hyperlink>
      <w:r>
        <w:rPr>
          <w:b/>
          <w:i/>
        </w:rPr>
        <w:t xml:space="preserve">, </w:t>
      </w:r>
      <w:hyperlink r:id="rId17" w:history="1">
        <w:r w:rsidRPr="003A5FEC">
          <w:rPr>
            <w:rStyle w:val="Lienhypertexte"/>
            <w:b/>
            <w:i/>
          </w:rPr>
          <w:t>001664987</w:t>
        </w:r>
      </w:hyperlink>
      <w:r>
        <w:rPr>
          <w:b/>
          <w:i/>
        </w:rPr>
        <w:t>)</w:t>
      </w:r>
    </w:p>
    <w:p w:rsidR="003A5FEC" w:rsidRDefault="003A5FEC" w:rsidP="003A5FEC"/>
    <w:p w:rsidR="003A5FEC" w:rsidRDefault="003A5FEC" w:rsidP="003A5FEC">
      <w:pPr>
        <w:pStyle w:val="Paragraphedeliste"/>
        <w:numPr>
          <w:ilvl w:val="0"/>
          <w:numId w:val="15"/>
        </w:numPr>
      </w:pPr>
      <w:r>
        <w:t>Rappelez la définition de la population active.</w:t>
      </w:r>
    </w:p>
    <w:p w:rsidR="003A5FEC" w:rsidRDefault="003A5FEC" w:rsidP="003A5FEC">
      <w:pPr>
        <w:pStyle w:val="Paragraphedeliste"/>
        <w:numPr>
          <w:ilvl w:val="0"/>
          <w:numId w:val="15"/>
        </w:numPr>
      </w:pPr>
      <w:r>
        <w:t>Déduisez du graphique le nombre approximatif de chômeurs en 1975 et en 2013.</w:t>
      </w:r>
    </w:p>
    <w:p w:rsidR="003A5FEC" w:rsidRDefault="001F0B29" w:rsidP="003A5FEC">
      <w:pPr>
        <w:pStyle w:val="Paragraphedeliste"/>
        <w:numPr>
          <w:ilvl w:val="0"/>
          <w:numId w:val="15"/>
        </w:numPr>
      </w:pPr>
      <w:r>
        <w:t>Pourriez-vous distinguer des périodes dans l’évolution du nombre de chômeurs depuis 1975 ?</w:t>
      </w:r>
    </w:p>
    <w:p w:rsidR="00D45E9F" w:rsidRDefault="00D45E9F" w:rsidP="00D45E9F"/>
    <w:p w:rsidR="00D45E9F" w:rsidRDefault="00D45E9F" w:rsidP="00D45E9F"/>
    <w:p w:rsidR="00D45E9F" w:rsidRDefault="00D45E9F" w:rsidP="003A5FEC"/>
    <w:p w:rsidR="00E42B85" w:rsidRDefault="00E42B85">
      <w:pPr>
        <w:widowControl/>
        <w:autoSpaceDE/>
        <w:autoSpaceDN/>
        <w:adjustRightInd/>
        <w:spacing w:after="200" w:line="276" w:lineRule="auto"/>
        <w:jc w:val="left"/>
      </w:pPr>
      <w:r>
        <w:br w:type="page"/>
      </w:r>
    </w:p>
    <w:p w:rsidR="00E42B85" w:rsidRPr="00913EA6" w:rsidRDefault="00E42B85" w:rsidP="00E42B85">
      <w:pPr>
        <w:rPr>
          <w:b/>
          <w:u w:val="single"/>
        </w:rPr>
      </w:pPr>
      <w:r w:rsidRPr="00913EA6">
        <w:rPr>
          <w:b/>
          <w:u w:val="single"/>
        </w:rPr>
        <w:lastRenderedPageBreak/>
        <w:t>Bonus 1 :</w:t>
      </w:r>
    </w:p>
    <w:p w:rsidR="00E42B85" w:rsidRPr="009677D4" w:rsidRDefault="00E42B85" w:rsidP="00E42B85">
      <w:pPr>
        <w:rPr>
          <w:b/>
        </w:rPr>
      </w:pPr>
      <w:r>
        <w:rPr>
          <w:b/>
        </w:rPr>
        <w:t>Document 5</w:t>
      </w:r>
    </w:p>
    <w:p w:rsidR="0066343B" w:rsidRPr="0066343B" w:rsidRDefault="0066343B" w:rsidP="0066343B">
      <w:pPr>
        <w:rPr>
          <w:sz w:val="20"/>
          <w:szCs w:val="20"/>
        </w:rPr>
      </w:pPr>
      <w:r w:rsidRPr="0066343B">
        <w:rPr>
          <w:iCs/>
          <w:sz w:val="20"/>
          <w:szCs w:val="20"/>
        </w:rPr>
        <w:t xml:space="preserve">Au Japon </w:t>
      </w:r>
      <w:r w:rsidRPr="00934528">
        <w:rPr>
          <w:iCs/>
          <w:sz w:val="20"/>
          <w:szCs w:val="20"/>
        </w:rPr>
        <w:t>[…]</w:t>
      </w:r>
      <w:r w:rsidRPr="0066343B">
        <w:rPr>
          <w:i/>
          <w:iCs/>
          <w:sz w:val="20"/>
          <w:szCs w:val="20"/>
        </w:rPr>
        <w:t xml:space="preserve"> </w:t>
      </w:r>
      <w:r w:rsidRPr="0066343B">
        <w:rPr>
          <w:iCs/>
          <w:sz w:val="20"/>
          <w:szCs w:val="20"/>
        </w:rPr>
        <w:t xml:space="preserve">le </w:t>
      </w:r>
      <w:proofErr w:type="spellStart"/>
      <w:r w:rsidRPr="0066343B">
        <w:rPr>
          <w:sz w:val="20"/>
          <w:szCs w:val="20"/>
        </w:rPr>
        <w:t>family</w:t>
      </w:r>
      <w:proofErr w:type="spellEnd"/>
      <w:r w:rsidRPr="0066343B">
        <w:rPr>
          <w:sz w:val="20"/>
          <w:szCs w:val="20"/>
        </w:rPr>
        <w:t xml:space="preserve"> package</w:t>
      </w:r>
      <w:r>
        <w:rPr>
          <w:sz w:val="20"/>
          <w:szCs w:val="20"/>
          <w:vertAlign w:val="superscript"/>
        </w:rPr>
        <w:t>(1)</w:t>
      </w:r>
      <w:r w:rsidRPr="0066343B">
        <w:rPr>
          <w:sz w:val="20"/>
          <w:szCs w:val="20"/>
        </w:rPr>
        <w:t xml:space="preserve"> </w:t>
      </w:r>
      <w:r w:rsidRPr="0066343B">
        <w:rPr>
          <w:iCs/>
          <w:sz w:val="20"/>
          <w:szCs w:val="20"/>
        </w:rPr>
        <w:t xml:space="preserve">est très contraignant. […] Une femme qui se met en couple doit aussi accepter de se marier, d’obéir à son conjoint, d’avoir un enfant, d’arrêter de travailler après sa naissance et d’héberger ses beaux-parents âgés. C’est un peu le pays du tout ou rien. En France, le </w:t>
      </w:r>
      <w:proofErr w:type="spellStart"/>
      <w:r w:rsidRPr="0066343B">
        <w:rPr>
          <w:sz w:val="20"/>
          <w:szCs w:val="20"/>
        </w:rPr>
        <w:t>family</w:t>
      </w:r>
      <w:proofErr w:type="spellEnd"/>
      <w:r w:rsidRPr="0066343B">
        <w:rPr>
          <w:sz w:val="20"/>
          <w:szCs w:val="20"/>
        </w:rPr>
        <w:t xml:space="preserve"> package</w:t>
      </w:r>
      <w:r w:rsidRPr="0066343B">
        <w:rPr>
          <w:iCs/>
          <w:sz w:val="20"/>
          <w:szCs w:val="20"/>
        </w:rPr>
        <w:t xml:space="preserve"> est plus souple : une femme qui se met en couple n’est pas obligée de se marier, ni même d’avoir des enfants. Les normes sont plus ouvertes et les familles plus variées.</w:t>
      </w:r>
    </w:p>
    <w:p w:rsidR="0066343B" w:rsidRPr="0066343B" w:rsidRDefault="0066343B" w:rsidP="0066343B">
      <w:pPr>
        <w:rPr>
          <w:sz w:val="20"/>
          <w:szCs w:val="20"/>
        </w:rPr>
      </w:pPr>
      <w:r w:rsidRPr="0066343B">
        <w:rPr>
          <w:sz w:val="20"/>
          <w:szCs w:val="20"/>
        </w:rPr>
        <w:t xml:space="preserve">La plupart des pays du sud de l’Europe sont construits sur le modèle du </w:t>
      </w:r>
      <w:proofErr w:type="spellStart"/>
      <w:r w:rsidRPr="0066343B">
        <w:rPr>
          <w:iCs/>
          <w:sz w:val="20"/>
          <w:szCs w:val="20"/>
        </w:rPr>
        <w:t>family</w:t>
      </w:r>
      <w:proofErr w:type="spellEnd"/>
      <w:r w:rsidRPr="0066343B">
        <w:rPr>
          <w:iCs/>
          <w:sz w:val="20"/>
          <w:szCs w:val="20"/>
        </w:rPr>
        <w:t xml:space="preserve"> package </w:t>
      </w:r>
      <w:r w:rsidRPr="0066343B">
        <w:rPr>
          <w:sz w:val="20"/>
          <w:szCs w:val="20"/>
        </w:rPr>
        <w:t xml:space="preserve">japonais. En Italie, en Espagne, au Portugal, à Chypre, à Malte ou en Grèce, les normes familiales sont rigides : il est mal vu qu’une femme travaille lorsqu’elle a un enfant en bas âge, comme il est mal vu qu’elle vive en couple ou qu’elle ait un enfant sans passer devant monsieur le maire – dans tous ces pays, le taux de naissances hors mariage est d’ailleurs inférieur à 30 % alors qu’il dépasse 50 % en France, en Suède ou en Norvège. Au Japon comme dans le sud de l’Europe, ce </w:t>
      </w:r>
      <w:proofErr w:type="spellStart"/>
      <w:r w:rsidRPr="0066343B">
        <w:rPr>
          <w:iCs/>
          <w:sz w:val="20"/>
          <w:szCs w:val="20"/>
        </w:rPr>
        <w:t>family</w:t>
      </w:r>
      <w:proofErr w:type="spellEnd"/>
      <w:r w:rsidRPr="0066343B">
        <w:rPr>
          <w:iCs/>
          <w:sz w:val="20"/>
          <w:szCs w:val="20"/>
        </w:rPr>
        <w:t xml:space="preserve"> package</w:t>
      </w:r>
      <w:r w:rsidRPr="0066343B">
        <w:rPr>
          <w:sz w:val="20"/>
          <w:szCs w:val="20"/>
        </w:rPr>
        <w:t xml:space="preserve"> à l’ancienne a visiblement des conséquences dramatiques sur la fécondité : les taux sont inférieurs à 1,4 enfant par femme.</w:t>
      </w:r>
    </w:p>
    <w:p w:rsidR="0066343B" w:rsidRPr="0066343B" w:rsidRDefault="0066343B" w:rsidP="0066343B">
      <w:pPr>
        <w:rPr>
          <w:sz w:val="20"/>
          <w:szCs w:val="20"/>
        </w:rPr>
      </w:pPr>
      <w:r w:rsidRPr="0066343B">
        <w:rPr>
          <w:sz w:val="20"/>
          <w:szCs w:val="20"/>
        </w:rPr>
        <w:t xml:space="preserve">Tout autre est la situation de la France et de la Scandinavie. </w:t>
      </w:r>
      <w:r w:rsidRPr="0066343B">
        <w:rPr>
          <w:iCs/>
          <w:sz w:val="20"/>
          <w:szCs w:val="20"/>
        </w:rPr>
        <w:t xml:space="preserve">Dans ces pays, la norme familiale est beaucoup plus souple : les noces tardives, les familles recomposées, la monoparentalité, les naissances hors mariage et les divorces sont nettement plus fréquents que dans le sud de l’Europe […]. </w:t>
      </w:r>
      <w:r w:rsidRPr="0066343B">
        <w:rPr>
          <w:sz w:val="20"/>
          <w:szCs w:val="20"/>
        </w:rPr>
        <w:t>Cette conception ouverte de la famille semble très favorable à la natalité : en France, en Suède, en Norvège ou en Finlande, les taux de fécondité dépassent 1,8 enfant par femme.</w:t>
      </w:r>
    </w:p>
    <w:p w:rsidR="0066343B" w:rsidRPr="0066343B" w:rsidRDefault="0066343B" w:rsidP="0066343B">
      <w:pPr>
        <w:rPr>
          <w:sz w:val="20"/>
          <w:szCs w:val="20"/>
        </w:rPr>
      </w:pPr>
      <w:r w:rsidRPr="0066343B">
        <w:rPr>
          <w:sz w:val="20"/>
          <w:szCs w:val="20"/>
        </w:rPr>
        <w:t>Au centre de ce modèle familial né à la fin du XX</w:t>
      </w:r>
      <w:r w:rsidRPr="0066343B">
        <w:rPr>
          <w:sz w:val="20"/>
          <w:szCs w:val="20"/>
          <w:vertAlign w:val="superscript"/>
        </w:rPr>
        <w:t>e</w:t>
      </w:r>
      <w:r w:rsidRPr="0066343B">
        <w:rPr>
          <w:sz w:val="20"/>
          <w:szCs w:val="20"/>
        </w:rPr>
        <w:t xml:space="preserve"> siècle, figurent le principe de l’égalité des sexes et son corollaire, le travail des femmes. Une évolution que les partisans de la famille traditionnelle redoutaient en affirmant haut et fort, dans les années 1960 et 1970, que la natalité serait la première victime de ce bouleversement des hiérarchies. Cinquante ans plus tard, la réalité leur a donné tort : aujourd’hui, la natalité européenne est élevée dans les pays où les femmes travaillent, faible dans ceux où elles restent plus fréquemment au foyer. </w:t>
      </w:r>
      <w:r w:rsidRPr="0066343B">
        <w:rPr>
          <w:iCs/>
          <w:sz w:val="20"/>
          <w:szCs w:val="20"/>
        </w:rPr>
        <w:t>Leur autonomie est la clé de voûte du système,</w:t>
      </w:r>
      <w:r w:rsidRPr="0066343B">
        <w:rPr>
          <w:sz w:val="20"/>
          <w:szCs w:val="20"/>
        </w:rPr>
        <w:t xml:space="preserve"> </w:t>
      </w:r>
      <w:r w:rsidRPr="0066343B">
        <w:rPr>
          <w:iCs/>
          <w:sz w:val="20"/>
          <w:szCs w:val="20"/>
        </w:rPr>
        <w:t>[…]</w:t>
      </w:r>
      <w:r w:rsidRPr="0066343B">
        <w:rPr>
          <w:sz w:val="20"/>
          <w:szCs w:val="20"/>
        </w:rPr>
        <w:t>.</w:t>
      </w:r>
    </w:p>
    <w:p w:rsidR="0066343B" w:rsidRPr="0066343B" w:rsidRDefault="0066343B" w:rsidP="0066343B">
      <w:pPr>
        <w:rPr>
          <w:sz w:val="20"/>
          <w:szCs w:val="20"/>
        </w:rPr>
      </w:pPr>
      <w:r w:rsidRPr="0066343B">
        <w:rPr>
          <w:sz w:val="20"/>
          <w:szCs w:val="20"/>
        </w:rPr>
        <w:t xml:space="preserve">Pour que la fécondité soit forte, </w:t>
      </w:r>
      <w:r w:rsidRPr="0066343B">
        <w:rPr>
          <w:iCs/>
          <w:sz w:val="20"/>
          <w:szCs w:val="20"/>
        </w:rPr>
        <w:t xml:space="preserve">[…] </w:t>
      </w:r>
      <w:r w:rsidRPr="0066343B">
        <w:rPr>
          <w:sz w:val="20"/>
          <w:szCs w:val="20"/>
        </w:rPr>
        <w:t>il faut aussi que l’Etat soutienne avec conviction les familles. Et là encore, un fossé sépare la France et la Scandinavie des pays méditerranéens. Dans l’Hexagone et le nord de l’Europe, les politiques familiales sont généreuses : elles représentent plus de 3 % du produit intérieur brut (PIB) en Norvège et en Finlande, plus de 3,5 % en France et en Suède, plus de 4 % au Danemark. Dans le sud, les chiffres sont nettement plus modestes : les dépenses atteignent à peine 2 % du PIB en Italie, moins d’1,5 % en Espagne, au Portugal et en Grèce.</w:t>
      </w:r>
    </w:p>
    <w:p w:rsidR="0066343B" w:rsidRPr="0066343B" w:rsidRDefault="0066343B" w:rsidP="0066343B">
      <w:pPr>
        <w:rPr>
          <w:sz w:val="20"/>
          <w:szCs w:val="20"/>
        </w:rPr>
      </w:pPr>
      <w:r w:rsidRPr="0066343B">
        <w:rPr>
          <w:sz w:val="20"/>
          <w:szCs w:val="20"/>
        </w:rPr>
        <w:t xml:space="preserve">Ces différences d’approches sont, pour l’essentiel, liées à des phénomènes historiques et culturels. </w:t>
      </w:r>
      <w:r w:rsidRPr="0066343B">
        <w:rPr>
          <w:iCs/>
          <w:sz w:val="20"/>
          <w:szCs w:val="20"/>
        </w:rPr>
        <w:t>Dans le sud de l’Europe et en Allemagne, on considère que c’est à la famille, et non à l’Etat, de prendre en charge les enfants,</w:t>
      </w:r>
      <w:r w:rsidRPr="0066343B">
        <w:rPr>
          <w:sz w:val="20"/>
          <w:szCs w:val="20"/>
        </w:rPr>
        <w:t xml:space="preserve"> </w:t>
      </w:r>
      <w:r w:rsidRPr="0066343B">
        <w:rPr>
          <w:iCs/>
          <w:sz w:val="20"/>
          <w:szCs w:val="20"/>
        </w:rPr>
        <w:t>[…]</w:t>
      </w:r>
      <w:r w:rsidRPr="0066343B">
        <w:rPr>
          <w:sz w:val="20"/>
          <w:szCs w:val="20"/>
        </w:rPr>
        <w:t xml:space="preserve">. </w:t>
      </w:r>
      <w:r w:rsidRPr="0066343B">
        <w:rPr>
          <w:iCs/>
          <w:sz w:val="20"/>
          <w:szCs w:val="20"/>
        </w:rPr>
        <w:t>Cette tradition est le fruit de l’histoire : dans les pays anciennement fascistes ou nazis comme l’Italie, l’Espagne ou l’Allemagne, l’idée de faire des “enfants pour la patrie” était si prégnante qu’encore aujourd’hui, les discours natalistes suscitent beaucoup de réticences et d’embarras. Ce n’est pas le cas dans les pays scandinaves ou dans l’Hexagone, où l’on accepte très bien que l’Etat intervienne dans les affaires familiales en créant des crèches ou des écoles maternelles.</w:t>
      </w:r>
    </w:p>
    <w:p w:rsidR="0066343B" w:rsidRPr="0066343B" w:rsidRDefault="0066343B" w:rsidP="0066343B">
      <w:pPr>
        <w:rPr>
          <w:sz w:val="20"/>
          <w:szCs w:val="20"/>
        </w:rPr>
      </w:pPr>
      <w:r w:rsidRPr="0066343B">
        <w:rPr>
          <w:sz w:val="20"/>
          <w:szCs w:val="20"/>
        </w:rPr>
        <w:t xml:space="preserve">En France, les politiques familiales sont anciennes : </w:t>
      </w:r>
      <w:r w:rsidRPr="0066343B">
        <w:rPr>
          <w:iCs/>
          <w:sz w:val="20"/>
          <w:szCs w:val="20"/>
        </w:rPr>
        <w:t>[…]</w:t>
      </w:r>
      <w:r w:rsidRPr="0066343B">
        <w:rPr>
          <w:sz w:val="20"/>
          <w:szCs w:val="20"/>
        </w:rPr>
        <w:t xml:space="preserve"> l’Etat a généralisé les allocations familiales et institué des réductions fiscales pour les parents. A ces avantages financiers, se sont ajoutées, au fil des ans, des structures d’accueil pour la petite enfance et des écoles maternelles. </w:t>
      </w:r>
      <w:r w:rsidRPr="0066343B">
        <w:rPr>
          <w:iCs/>
          <w:sz w:val="20"/>
          <w:szCs w:val="20"/>
        </w:rPr>
        <w:t xml:space="preserve">[…] </w:t>
      </w:r>
    </w:p>
    <w:p w:rsidR="0066343B" w:rsidRPr="0066343B" w:rsidRDefault="0066343B" w:rsidP="0066343B">
      <w:pPr>
        <w:rPr>
          <w:sz w:val="20"/>
          <w:szCs w:val="20"/>
        </w:rPr>
      </w:pPr>
      <w:r w:rsidRPr="0066343B">
        <w:rPr>
          <w:sz w:val="20"/>
          <w:szCs w:val="20"/>
        </w:rPr>
        <w:t>Finalement, le cocktail magique qui intrigue tant les experts coréens ou japonais qui défilent au siège de l’INED n’a rien de mystérieux : en Europe, la natalité est forte dans les pays où les normes familiales sont souples, où les femmes peuvent travailler, où les politiques familiales sont généreuses et où la prise en charge des tout-petits est bien organisée. Dans les pays, pourrait-on résumer, qui se sont adaptés, vaille que vaille, à la nouvelle donne du XX</w:t>
      </w:r>
      <w:r w:rsidRPr="0066343B">
        <w:rPr>
          <w:sz w:val="20"/>
          <w:szCs w:val="20"/>
          <w:vertAlign w:val="superscript"/>
        </w:rPr>
        <w:t>e</w:t>
      </w:r>
      <w:r w:rsidRPr="0066343B">
        <w:rPr>
          <w:sz w:val="20"/>
          <w:szCs w:val="20"/>
        </w:rPr>
        <w:t xml:space="preserve"> siècle que représente l’égalité hommes-femmes. </w:t>
      </w:r>
    </w:p>
    <w:p w:rsidR="0066343B" w:rsidRPr="00DA7404" w:rsidRDefault="0066343B" w:rsidP="0066343B">
      <w:pPr>
        <w:rPr>
          <w:sz w:val="16"/>
          <w:szCs w:val="16"/>
        </w:rPr>
      </w:pPr>
      <w:r w:rsidRPr="00DA7404">
        <w:rPr>
          <w:sz w:val="16"/>
          <w:szCs w:val="16"/>
        </w:rPr>
        <w:t xml:space="preserve">(1) </w:t>
      </w:r>
      <w:proofErr w:type="spellStart"/>
      <w:r w:rsidRPr="00DA7404">
        <w:rPr>
          <w:sz w:val="16"/>
          <w:szCs w:val="16"/>
        </w:rPr>
        <w:t>family</w:t>
      </w:r>
      <w:proofErr w:type="spellEnd"/>
      <w:r w:rsidRPr="00DA7404">
        <w:rPr>
          <w:sz w:val="16"/>
          <w:szCs w:val="16"/>
        </w:rPr>
        <w:t xml:space="preserve"> package : ensemble des normes sociales concernant la famille.</w:t>
      </w:r>
    </w:p>
    <w:p w:rsidR="0066343B" w:rsidRPr="0066343B" w:rsidRDefault="0066343B" w:rsidP="0066343B">
      <w:pPr>
        <w:jc w:val="right"/>
        <w:rPr>
          <w:b/>
          <w:i/>
        </w:rPr>
      </w:pPr>
      <w:r w:rsidRPr="0066343B">
        <w:rPr>
          <w:b/>
          <w:i/>
        </w:rPr>
        <w:t xml:space="preserve">Source : </w:t>
      </w:r>
      <w:r w:rsidRPr="0066343B">
        <w:rPr>
          <w:rFonts w:cs="Times New Roman"/>
          <w:b/>
          <w:i/>
          <w:szCs w:val="24"/>
        </w:rPr>
        <w:t>Anne Chemin, LE MONDE</w:t>
      </w:r>
      <w:r>
        <w:rPr>
          <w:rFonts w:cs="Times New Roman"/>
          <w:b/>
          <w:i/>
          <w:szCs w:val="24"/>
        </w:rPr>
        <w:t>,</w:t>
      </w:r>
      <w:r w:rsidRPr="0066343B">
        <w:rPr>
          <w:rFonts w:cs="Times New Roman"/>
          <w:b/>
          <w:i/>
          <w:szCs w:val="24"/>
        </w:rPr>
        <w:t xml:space="preserve"> CULTURE ET IDEES</w:t>
      </w:r>
      <w:r>
        <w:rPr>
          <w:rFonts w:cs="Times New Roman"/>
          <w:b/>
          <w:i/>
          <w:szCs w:val="24"/>
        </w:rPr>
        <w:t xml:space="preserve">, </w:t>
      </w:r>
      <w:r w:rsidRPr="0066343B">
        <w:rPr>
          <w:rFonts w:cs="Times New Roman"/>
          <w:b/>
          <w:i/>
          <w:szCs w:val="24"/>
        </w:rPr>
        <w:t>22.01.2015</w:t>
      </w:r>
    </w:p>
    <w:p w:rsidR="00E42B85" w:rsidRDefault="00E42B85" w:rsidP="003A5FEC"/>
    <w:p w:rsidR="0066343B" w:rsidRDefault="0066343B" w:rsidP="0066343B">
      <w:pPr>
        <w:pStyle w:val="Paragraphedeliste"/>
        <w:numPr>
          <w:ilvl w:val="0"/>
          <w:numId w:val="17"/>
        </w:numPr>
      </w:pPr>
      <w:r>
        <w:t>Remplissez le tableau suivant en indiquant les spécificités des pays à faible fécondité et à plus forte fécondité.</w:t>
      </w:r>
    </w:p>
    <w:tbl>
      <w:tblPr>
        <w:tblStyle w:val="Grilledutableau"/>
        <w:tblW w:w="0" w:type="auto"/>
        <w:tblLook w:val="04A0"/>
      </w:tblPr>
      <w:tblGrid>
        <w:gridCol w:w="4605"/>
        <w:gridCol w:w="4605"/>
      </w:tblGrid>
      <w:tr w:rsidR="0066343B" w:rsidRPr="006E11F2" w:rsidTr="0066343B">
        <w:tc>
          <w:tcPr>
            <w:tcW w:w="4605" w:type="dxa"/>
          </w:tcPr>
          <w:p w:rsidR="0066343B" w:rsidRPr="006E11F2" w:rsidRDefault="0066343B" w:rsidP="00DA7404">
            <w:pPr>
              <w:jc w:val="center"/>
              <w:rPr>
                <w:b/>
              </w:rPr>
            </w:pPr>
            <w:r w:rsidRPr="006E11F2">
              <w:rPr>
                <w:b/>
              </w:rPr>
              <w:t>Pays à faible fécondité</w:t>
            </w:r>
            <w:r w:rsidR="00DA7404" w:rsidRPr="006E11F2">
              <w:rPr>
                <w:b/>
              </w:rPr>
              <w:t xml:space="preserve"> (Japon, Allemagne, Europe du sud)</w:t>
            </w:r>
          </w:p>
        </w:tc>
        <w:tc>
          <w:tcPr>
            <w:tcW w:w="4605" w:type="dxa"/>
          </w:tcPr>
          <w:p w:rsidR="0066343B" w:rsidRPr="006E11F2" w:rsidRDefault="00DA7404" w:rsidP="00DA7404">
            <w:pPr>
              <w:jc w:val="center"/>
              <w:rPr>
                <w:b/>
              </w:rPr>
            </w:pPr>
            <w:r w:rsidRPr="006E11F2">
              <w:rPr>
                <w:b/>
              </w:rPr>
              <w:t>Pays à plus forte fécondité (France, pays scandinaves)</w:t>
            </w:r>
          </w:p>
        </w:tc>
      </w:tr>
      <w:tr w:rsidR="0066343B" w:rsidTr="0066343B">
        <w:tc>
          <w:tcPr>
            <w:tcW w:w="4605" w:type="dxa"/>
          </w:tcPr>
          <w:p w:rsidR="0066343B" w:rsidRDefault="0066343B" w:rsidP="0066343B"/>
          <w:p w:rsidR="00DA7404" w:rsidRDefault="00DA7404" w:rsidP="0066343B"/>
          <w:p w:rsidR="00DA7404" w:rsidRDefault="00DA7404" w:rsidP="0066343B"/>
          <w:p w:rsidR="00DA7404" w:rsidRDefault="00DA7404" w:rsidP="0066343B"/>
          <w:p w:rsidR="0066343B" w:rsidRDefault="0066343B" w:rsidP="0066343B"/>
          <w:p w:rsidR="0066343B" w:rsidRDefault="0066343B" w:rsidP="0066343B"/>
        </w:tc>
        <w:tc>
          <w:tcPr>
            <w:tcW w:w="4605" w:type="dxa"/>
          </w:tcPr>
          <w:p w:rsidR="0066343B" w:rsidRDefault="0066343B" w:rsidP="0066343B"/>
        </w:tc>
      </w:tr>
    </w:tbl>
    <w:p w:rsidR="0066343B" w:rsidRDefault="0066343B">
      <w:pPr>
        <w:widowControl/>
        <w:autoSpaceDE/>
        <w:autoSpaceDN/>
        <w:adjustRightInd/>
        <w:spacing w:after="200" w:line="276" w:lineRule="auto"/>
        <w:jc w:val="left"/>
      </w:pPr>
      <w:r>
        <w:br w:type="page"/>
      </w:r>
    </w:p>
    <w:p w:rsidR="00DB7DA8" w:rsidRPr="00913EA6" w:rsidRDefault="00DB7DA8" w:rsidP="00DB7DA8">
      <w:pPr>
        <w:rPr>
          <w:b/>
          <w:u w:val="single"/>
        </w:rPr>
      </w:pPr>
      <w:r w:rsidRPr="00913EA6">
        <w:rPr>
          <w:b/>
          <w:u w:val="single"/>
        </w:rPr>
        <w:lastRenderedPageBreak/>
        <w:t xml:space="preserve">Bonus </w:t>
      </w:r>
      <w:r>
        <w:rPr>
          <w:b/>
          <w:u w:val="single"/>
        </w:rPr>
        <w:t>2</w:t>
      </w:r>
      <w:r w:rsidRPr="00913EA6">
        <w:rPr>
          <w:b/>
          <w:u w:val="single"/>
        </w:rPr>
        <w:t> :</w:t>
      </w:r>
    </w:p>
    <w:p w:rsidR="00DB7DA8" w:rsidRDefault="00DB7DA8" w:rsidP="00DB7DA8">
      <w:pPr>
        <w:rPr>
          <w:b/>
        </w:rPr>
      </w:pPr>
    </w:p>
    <w:p w:rsidR="00DB7DA8" w:rsidRPr="009677D4" w:rsidRDefault="00DB7DA8" w:rsidP="00DB7DA8">
      <w:pPr>
        <w:rPr>
          <w:b/>
        </w:rPr>
      </w:pPr>
      <w:r>
        <w:rPr>
          <w:b/>
        </w:rPr>
        <w:t>Document 6</w:t>
      </w:r>
    </w:p>
    <w:p w:rsidR="00DA7404" w:rsidRDefault="00DA7404" w:rsidP="003A5FEC"/>
    <w:tbl>
      <w:tblPr>
        <w:tblStyle w:val="Grilledutableau"/>
        <w:tblW w:w="0" w:type="auto"/>
        <w:tblLook w:val="04A0"/>
      </w:tblPr>
      <w:tblGrid>
        <w:gridCol w:w="3070"/>
        <w:gridCol w:w="3070"/>
        <w:gridCol w:w="3070"/>
      </w:tblGrid>
      <w:tr w:rsidR="009E527E" w:rsidRPr="00AC5C14" w:rsidTr="00AC5C14">
        <w:tc>
          <w:tcPr>
            <w:tcW w:w="3070" w:type="dxa"/>
            <w:vAlign w:val="center"/>
          </w:tcPr>
          <w:p w:rsidR="009E527E" w:rsidRPr="00AC5C14" w:rsidRDefault="009E527E" w:rsidP="00AC5C14">
            <w:pPr>
              <w:jc w:val="center"/>
              <w:rPr>
                <w:b/>
              </w:rPr>
            </w:pPr>
            <w:r w:rsidRPr="00AC5C14">
              <w:rPr>
                <w:b/>
              </w:rPr>
              <w:t>Période</w:t>
            </w:r>
          </w:p>
        </w:tc>
        <w:tc>
          <w:tcPr>
            <w:tcW w:w="3070" w:type="dxa"/>
            <w:vAlign w:val="center"/>
          </w:tcPr>
          <w:p w:rsidR="009E527E" w:rsidRPr="00AC5C14" w:rsidRDefault="009E527E" w:rsidP="00AC5C14">
            <w:pPr>
              <w:jc w:val="center"/>
              <w:rPr>
                <w:b/>
              </w:rPr>
            </w:pPr>
            <w:r w:rsidRPr="00AC5C14">
              <w:rPr>
                <w:b/>
                <w:bCs/>
                <w:color w:val="000000"/>
              </w:rPr>
              <w:t>Âge légal de départ</w:t>
            </w:r>
          </w:p>
        </w:tc>
        <w:tc>
          <w:tcPr>
            <w:tcW w:w="3070" w:type="dxa"/>
            <w:vAlign w:val="center"/>
          </w:tcPr>
          <w:p w:rsidR="009E527E" w:rsidRPr="00AC5C14" w:rsidRDefault="009E527E" w:rsidP="00AC5C14">
            <w:pPr>
              <w:jc w:val="center"/>
              <w:rPr>
                <w:b/>
              </w:rPr>
            </w:pPr>
            <w:r w:rsidRPr="00AC5C14">
              <w:rPr>
                <w:b/>
                <w:bCs/>
                <w:color w:val="000000"/>
              </w:rPr>
              <w:t>Durée de cotisation pour bénéficier d'un taux plein</w:t>
            </w:r>
          </w:p>
        </w:tc>
      </w:tr>
      <w:tr w:rsidR="009E527E" w:rsidRPr="00AC5C14" w:rsidTr="00AC5C14">
        <w:trPr>
          <w:trHeight w:val="759"/>
        </w:trPr>
        <w:tc>
          <w:tcPr>
            <w:tcW w:w="3070" w:type="dxa"/>
            <w:vAlign w:val="center"/>
          </w:tcPr>
          <w:p w:rsidR="009E527E" w:rsidRPr="00AC5C14" w:rsidRDefault="00AC5C14" w:rsidP="00AC5C14">
            <w:pPr>
              <w:jc w:val="center"/>
            </w:pPr>
            <w:r>
              <w:t>1945-</w:t>
            </w:r>
            <w:r w:rsidR="009E527E" w:rsidRPr="00AC5C14">
              <w:t>1982</w:t>
            </w:r>
          </w:p>
        </w:tc>
        <w:tc>
          <w:tcPr>
            <w:tcW w:w="3070" w:type="dxa"/>
            <w:vAlign w:val="center"/>
          </w:tcPr>
          <w:p w:rsidR="009E527E" w:rsidRPr="00AC5C14" w:rsidRDefault="009E527E" w:rsidP="00AC5C14">
            <w:pPr>
              <w:jc w:val="left"/>
              <w:rPr>
                <w:bCs/>
                <w:color w:val="000000"/>
              </w:rPr>
            </w:pPr>
            <w:r w:rsidRPr="00AC5C14">
              <w:rPr>
                <w:bCs/>
                <w:color w:val="000000"/>
              </w:rPr>
              <w:t>65 ans</w:t>
            </w:r>
          </w:p>
        </w:tc>
        <w:tc>
          <w:tcPr>
            <w:tcW w:w="3070" w:type="dxa"/>
            <w:vAlign w:val="center"/>
          </w:tcPr>
          <w:p w:rsidR="009E527E" w:rsidRPr="00AC5C14" w:rsidRDefault="009E527E" w:rsidP="00AC5C14">
            <w:pPr>
              <w:jc w:val="left"/>
              <w:rPr>
                <w:bCs/>
                <w:color w:val="000000"/>
              </w:rPr>
            </w:pPr>
            <w:r w:rsidRPr="00AC5C14">
              <w:rPr>
                <w:bCs/>
                <w:color w:val="000000"/>
              </w:rPr>
              <w:t>37,5 ans</w:t>
            </w:r>
          </w:p>
        </w:tc>
      </w:tr>
      <w:tr w:rsidR="009E527E" w:rsidRPr="00AC5C14" w:rsidTr="00AC5C14">
        <w:trPr>
          <w:trHeight w:val="759"/>
        </w:trPr>
        <w:tc>
          <w:tcPr>
            <w:tcW w:w="3070" w:type="dxa"/>
            <w:vAlign w:val="center"/>
          </w:tcPr>
          <w:p w:rsidR="009E527E" w:rsidRPr="00AC5C14" w:rsidRDefault="009E527E" w:rsidP="00AC5C14">
            <w:pPr>
              <w:jc w:val="center"/>
            </w:pPr>
            <w:r w:rsidRPr="00AC5C14">
              <w:t>1982</w:t>
            </w:r>
            <w:r w:rsidR="00AC5C14">
              <w:t>-1993</w:t>
            </w:r>
          </w:p>
        </w:tc>
        <w:tc>
          <w:tcPr>
            <w:tcW w:w="3070" w:type="dxa"/>
            <w:vAlign w:val="center"/>
          </w:tcPr>
          <w:p w:rsidR="009E527E" w:rsidRPr="00AC5C14" w:rsidRDefault="009E527E" w:rsidP="00AC5C14">
            <w:pPr>
              <w:jc w:val="left"/>
              <w:rPr>
                <w:bCs/>
                <w:color w:val="000000"/>
              </w:rPr>
            </w:pPr>
            <w:r w:rsidRPr="00AC5C14">
              <w:rPr>
                <w:bCs/>
                <w:color w:val="000000"/>
              </w:rPr>
              <w:t>60 ans</w:t>
            </w:r>
          </w:p>
        </w:tc>
        <w:tc>
          <w:tcPr>
            <w:tcW w:w="3070" w:type="dxa"/>
            <w:vAlign w:val="center"/>
          </w:tcPr>
          <w:p w:rsidR="009E527E" w:rsidRPr="00AC5C14" w:rsidRDefault="009E527E" w:rsidP="00AC5C14">
            <w:pPr>
              <w:jc w:val="left"/>
              <w:rPr>
                <w:bCs/>
                <w:color w:val="000000"/>
              </w:rPr>
            </w:pPr>
            <w:r w:rsidRPr="00AC5C14">
              <w:rPr>
                <w:bCs/>
                <w:color w:val="000000"/>
              </w:rPr>
              <w:t>37,5 ans</w:t>
            </w:r>
          </w:p>
        </w:tc>
      </w:tr>
      <w:tr w:rsidR="009E527E" w:rsidRPr="00AC5C14" w:rsidTr="00AC5C14">
        <w:trPr>
          <w:trHeight w:val="759"/>
        </w:trPr>
        <w:tc>
          <w:tcPr>
            <w:tcW w:w="3070" w:type="dxa"/>
            <w:vAlign w:val="center"/>
          </w:tcPr>
          <w:p w:rsidR="009E527E" w:rsidRPr="00AC5C14" w:rsidRDefault="009E527E" w:rsidP="00AC5C14">
            <w:pPr>
              <w:jc w:val="center"/>
            </w:pPr>
            <w:r w:rsidRPr="00AC5C14">
              <w:t>1993</w:t>
            </w:r>
            <w:r w:rsidR="00AC5C14">
              <w:t>-2003</w:t>
            </w:r>
          </w:p>
        </w:tc>
        <w:tc>
          <w:tcPr>
            <w:tcW w:w="3070" w:type="dxa"/>
            <w:vAlign w:val="center"/>
          </w:tcPr>
          <w:p w:rsidR="009E527E" w:rsidRPr="00AC5C14" w:rsidRDefault="009E527E" w:rsidP="00AC5C14">
            <w:pPr>
              <w:jc w:val="left"/>
              <w:rPr>
                <w:bCs/>
                <w:color w:val="000000"/>
              </w:rPr>
            </w:pPr>
            <w:r w:rsidRPr="00AC5C14">
              <w:rPr>
                <w:bCs/>
                <w:color w:val="000000"/>
              </w:rPr>
              <w:t>60 ans</w:t>
            </w:r>
          </w:p>
        </w:tc>
        <w:tc>
          <w:tcPr>
            <w:tcW w:w="3070" w:type="dxa"/>
            <w:vAlign w:val="center"/>
          </w:tcPr>
          <w:p w:rsidR="009E527E" w:rsidRPr="00AC5C14" w:rsidRDefault="009E527E" w:rsidP="00AC5C14">
            <w:pPr>
              <w:jc w:val="left"/>
              <w:rPr>
                <w:bCs/>
                <w:color w:val="000000"/>
              </w:rPr>
            </w:pPr>
            <w:r w:rsidRPr="00AC5C14">
              <w:rPr>
                <w:bCs/>
                <w:color w:val="000000"/>
              </w:rPr>
              <w:t>40 ans pour le privé</w:t>
            </w:r>
          </w:p>
          <w:p w:rsidR="009E527E" w:rsidRPr="00AC5C14" w:rsidRDefault="009E527E" w:rsidP="00AC5C14">
            <w:pPr>
              <w:jc w:val="left"/>
              <w:rPr>
                <w:bCs/>
                <w:color w:val="000000"/>
              </w:rPr>
            </w:pPr>
            <w:r w:rsidRPr="00AC5C14">
              <w:rPr>
                <w:bCs/>
                <w:color w:val="000000"/>
              </w:rPr>
              <w:t>37,5 ans pour le public</w:t>
            </w:r>
          </w:p>
        </w:tc>
      </w:tr>
      <w:tr w:rsidR="009E527E" w:rsidRPr="00AC5C14" w:rsidTr="00AC5C14">
        <w:trPr>
          <w:trHeight w:val="759"/>
        </w:trPr>
        <w:tc>
          <w:tcPr>
            <w:tcW w:w="3070" w:type="dxa"/>
            <w:vAlign w:val="center"/>
          </w:tcPr>
          <w:p w:rsidR="009E527E" w:rsidRPr="00AC5C14" w:rsidRDefault="009E527E" w:rsidP="00AC5C14">
            <w:pPr>
              <w:jc w:val="center"/>
            </w:pPr>
            <w:r w:rsidRPr="00AC5C14">
              <w:t>2003</w:t>
            </w:r>
            <w:r w:rsidR="00AC5C14">
              <w:t>-2010</w:t>
            </w:r>
          </w:p>
        </w:tc>
        <w:tc>
          <w:tcPr>
            <w:tcW w:w="3070" w:type="dxa"/>
            <w:vAlign w:val="center"/>
          </w:tcPr>
          <w:p w:rsidR="009E527E" w:rsidRPr="00AC5C14" w:rsidRDefault="009E527E" w:rsidP="00AC5C14">
            <w:pPr>
              <w:jc w:val="left"/>
              <w:rPr>
                <w:bCs/>
                <w:color w:val="000000"/>
              </w:rPr>
            </w:pPr>
            <w:r w:rsidRPr="00AC5C14">
              <w:rPr>
                <w:bCs/>
                <w:color w:val="000000"/>
              </w:rPr>
              <w:t>60 ans</w:t>
            </w:r>
          </w:p>
        </w:tc>
        <w:tc>
          <w:tcPr>
            <w:tcW w:w="3070" w:type="dxa"/>
            <w:vAlign w:val="center"/>
          </w:tcPr>
          <w:p w:rsidR="009E527E" w:rsidRPr="00AC5C14" w:rsidRDefault="009E527E" w:rsidP="00AC5C14">
            <w:pPr>
              <w:jc w:val="left"/>
              <w:rPr>
                <w:bCs/>
                <w:color w:val="000000"/>
              </w:rPr>
            </w:pPr>
            <w:r w:rsidRPr="00AC5C14">
              <w:rPr>
                <w:color w:val="000000"/>
              </w:rPr>
              <w:t>41 ans</w:t>
            </w:r>
          </w:p>
        </w:tc>
      </w:tr>
      <w:tr w:rsidR="009E527E" w:rsidRPr="00AC5C14" w:rsidTr="00AC5C14">
        <w:trPr>
          <w:trHeight w:val="759"/>
        </w:trPr>
        <w:tc>
          <w:tcPr>
            <w:tcW w:w="3070" w:type="dxa"/>
            <w:vAlign w:val="center"/>
          </w:tcPr>
          <w:p w:rsidR="009E527E" w:rsidRPr="00AC5C14" w:rsidRDefault="009E527E" w:rsidP="00AC5C14">
            <w:pPr>
              <w:jc w:val="center"/>
            </w:pPr>
            <w:r w:rsidRPr="00AC5C14">
              <w:t>2010</w:t>
            </w:r>
            <w:r w:rsidR="00AC5C14">
              <w:t>-2013</w:t>
            </w:r>
          </w:p>
        </w:tc>
        <w:tc>
          <w:tcPr>
            <w:tcW w:w="3070" w:type="dxa"/>
            <w:vAlign w:val="center"/>
          </w:tcPr>
          <w:p w:rsidR="009E527E" w:rsidRPr="00AC5C14" w:rsidRDefault="009E527E" w:rsidP="00AC5C14">
            <w:pPr>
              <w:jc w:val="left"/>
              <w:rPr>
                <w:bCs/>
                <w:color w:val="000000"/>
              </w:rPr>
            </w:pPr>
            <w:r w:rsidRPr="00AC5C14">
              <w:rPr>
                <w:bCs/>
                <w:color w:val="000000"/>
              </w:rPr>
              <w:t>62 ans</w:t>
            </w:r>
          </w:p>
        </w:tc>
        <w:tc>
          <w:tcPr>
            <w:tcW w:w="3070" w:type="dxa"/>
            <w:vAlign w:val="center"/>
          </w:tcPr>
          <w:p w:rsidR="009E527E" w:rsidRPr="00AC5C14" w:rsidRDefault="009E527E" w:rsidP="00AC5C14">
            <w:pPr>
              <w:jc w:val="left"/>
              <w:rPr>
                <w:bCs/>
                <w:color w:val="000000"/>
              </w:rPr>
            </w:pPr>
            <w:r w:rsidRPr="00AC5C14">
              <w:rPr>
                <w:color w:val="000000"/>
              </w:rPr>
              <w:t xml:space="preserve">41,5 </w:t>
            </w:r>
            <w:r w:rsidR="00AC5C14" w:rsidRPr="00AC5C14">
              <w:rPr>
                <w:color w:val="000000"/>
              </w:rPr>
              <w:t>ans</w:t>
            </w:r>
          </w:p>
        </w:tc>
      </w:tr>
      <w:tr w:rsidR="009E527E" w:rsidRPr="00AC5C14" w:rsidTr="00AC5C14">
        <w:trPr>
          <w:trHeight w:val="759"/>
        </w:trPr>
        <w:tc>
          <w:tcPr>
            <w:tcW w:w="3070" w:type="dxa"/>
            <w:vAlign w:val="center"/>
          </w:tcPr>
          <w:p w:rsidR="009E527E" w:rsidRPr="00AC5C14" w:rsidRDefault="00AC5C14" w:rsidP="00AC5C14">
            <w:pPr>
              <w:jc w:val="center"/>
            </w:pPr>
            <w:r>
              <w:t xml:space="preserve">Depuis </w:t>
            </w:r>
            <w:r w:rsidR="009E527E" w:rsidRPr="00AC5C14">
              <w:t>2013</w:t>
            </w:r>
          </w:p>
        </w:tc>
        <w:tc>
          <w:tcPr>
            <w:tcW w:w="3070" w:type="dxa"/>
            <w:vAlign w:val="center"/>
          </w:tcPr>
          <w:p w:rsidR="009E527E" w:rsidRPr="00AC5C14" w:rsidRDefault="009E527E" w:rsidP="00AC5C14">
            <w:pPr>
              <w:jc w:val="left"/>
              <w:rPr>
                <w:bCs/>
                <w:color w:val="000000"/>
              </w:rPr>
            </w:pPr>
            <w:r w:rsidRPr="00AC5C14">
              <w:rPr>
                <w:bCs/>
                <w:color w:val="000000"/>
              </w:rPr>
              <w:t>62 ans</w:t>
            </w:r>
          </w:p>
        </w:tc>
        <w:tc>
          <w:tcPr>
            <w:tcW w:w="3070" w:type="dxa"/>
            <w:vAlign w:val="center"/>
          </w:tcPr>
          <w:p w:rsidR="009E527E" w:rsidRPr="00AC5C14" w:rsidRDefault="009E527E" w:rsidP="00AC5C14">
            <w:pPr>
              <w:jc w:val="left"/>
              <w:rPr>
                <w:bCs/>
                <w:color w:val="000000"/>
              </w:rPr>
            </w:pPr>
            <w:r w:rsidRPr="00AC5C14">
              <w:rPr>
                <w:color w:val="000000"/>
              </w:rPr>
              <w:t>43 ans (</w:t>
            </w:r>
            <w:r w:rsidR="00AC5C14" w:rsidRPr="00AC5C14">
              <w:t>augmentation d'un trimestre tous les 3 ans, jusqu'à 43 ans en 2035)</w:t>
            </w:r>
          </w:p>
        </w:tc>
      </w:tr>
    </w:tbl>
    <w:p w:rsidR="006E11F2" w:rsidRDefault="006E11F2" w:rsidP="00AC5C14">
      <w:pPr>
        <w:jc w:val="right"/>
        <w:rPr>
          <w:b/>
          <w:i/>
        </w:rPr>
      </w:pPr>
    </w:p>
    <w:p w:rsidR="009E527E" w:rsidRPr="00AC5C14" w:rsidRDefault="00AC5C14" w:rsidP="00AC5C14">
      <w:pPr>
        <w:jc w:val="right"/>
        <w:rPr>
          <w:b/>
          <w:i/>
        </w:rPr>
      </w:pPr>
      <w:r w:rsidRPr="00AC5C14">
        <w:rPr>
          <w:b/>
          <w:i/>
        </w:rPr>
        <w:t xml:space="preserve">Source : Bruno </w:t>
      </w:r>
      <w:proofErr w:type="spellStart"/>
      <w:r w:rsidRPr="00AC5C14">
        <w:rPr>
          <w:b/>
          <w:i/>
        </w:rPr>
        <w:t>Déchamps</w:t>
      </w:r>
      <w:proofErr w:type="spellEnd"/>
      <w:r w:rsidRPr="00AC5C14">
        <w:rPr>
          <w:b/>
          <w:i/>
        </w:rPr>
        <w:t>.</w:t>
      </w:r>
    </w:p>
    <w:p w:rsidR="009E527E" w:rsidRDefault="009E527E" w:rsidP="003A5FEC"/>
    <w:p w:rsidR="009E527E" w:rsidRDefault="009E527E" w:rsidP="003A5FEC"/>
    <w:p w:rsidR="00DA7404" w:rsidRDefault="009273FC" w:rsidP="009273FC">
      <w:pPr>
        <w:pStyle w:val="Paragraphedeliste"/>
        <w:numPr>
          <w:ilvl w:val="0"/>
          <w:numId w:val="19"/>
        </w:numPr>
      </w:pPr>
      <w:r>
        <w:t>Quel peut</w:t>
      </w:r>
      <w:r w:rsidR="006E11F2">
        <w:t xml:space="preserve"> </w:t>
      </w:r>
      <w:r>
        <w:t>être l’effet de la réforme des retraites de 1982 sur les taux d’activité des personnes âgées de 50 à 64 ans ?</w:t>
      </w:r>
    </w:p>
    <w:p w:rsidR="009273FC" w:rsidRDefault="009273FC" w:rsidP="009273FC">
      <w:pPr>
        <w:pStyle w:val="Paragraphedeliste"/>
        <w:numPr>
          <w:ilvl w:val="0"/>
          <w:numId w:val="19"/>
        </w:numPr>
      </w:pPr>
      <w:r>
        <w:t>Quel peut</w:t>
      </w:r>
      <w:r w:rsidR="006E11F2">
        <w:t xml:space="preserve"> </w:t>
      </w:r>
      <w:r>
        <w:t>être l’effet des réformes des retraites depuis 1993 sur les taux d’activité des personnes âgées de 50 à 64 ans ?</w:t>
      </w:r>
    </w:p>
    <w:p w:rsidR="009273FC" w:rsidRDefault="006E11F2" w:rsidP="009273FC">
      <w:pPr>
        <w:pStyle w:val="Paragraphedeliste"/>
        <w:numPr>
          <w:ilvl w:val="0"/>
          <w:numId w:val="19"/>
        </w:numPr>
      </w:pPr>
      <w:r>
        <w:t>Quel est l’objectif affiché des réformes des retraites menées depuis 1993 ?</w:t>
      </w:r>
    </w:p>
    <w:p w:rsidR="009273FC" w:rsidRDefault="009273FC" w:rsidP="003A5FEC"/>
    <w:sectPr w:rsidR="009273FC" w:rsidSect="00B3054B">
      <w:headerReference w:type="default" r:id="rId18"/>
      <w:pgSz w:w="11906" w:h="16838"/>
      <w:pgMar w:top="851" w:right="1418" w:bottom="1418" w:left="1418"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71E" w:rsidRDefault="00E4271E" w:rsidP="000B4BC4">
      <w:r>
        <w:separator/>
      </w:r>
    </w:p>
  </w:endnote>
  <w:endnote w:type="continuationSeparator" w:id="0">
    <w:p w:rsidR="00E4271E" w:rsidRDefault="00E4271E" w:rsidP="000B4B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71E" w:rsidRDefault="00E4271E" w:rsidP="000B4BC4">
      <w:r>
        <w:separator/>
      </w:r>
    </w:p>
  </w:footnote>
  <w:footnote w:type="continuationSeparator" w:id="0">
    <w:p w:rsidR="00E4271E" w:rsidRDefault="00E4271E" w:rsidP="000B4B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3FC" w:rsidRPr="00470449" w:rsidRDefault="009273FC" w:rsidP="00470449">
    <w:pPr>
      <w:pBdr>
        <w:bottom w:val="single" w:sz="6" w:space="1" w:color="auto"/>
      </w:pBdr>
      <w:ind w:left="-851" w:right="-995" w:firstLine="851"/>
      <w:jc w:val="right"/>
      <w:rPr>
        <w:b/>
        <w:color w:val="E36C0A" w:themeColor="accent6" w:themeShade="BF"/>
        <w:sz w:val="16"/>
        <w:szCs w:val="16"/>
      </w:rPr>
    </w:pPr>
    <w:r w:rsidRPr="00470449">
      <w:rPr>
        <w:b/>
        <w:color w:val="E36C0A" w:themeColor="accent6" w:themeShade="BF"/>
        <w:sz w:val="16"/>
        <w:szCs w:val="16"/>
      </w:rPr>
      <w:t xml:space="preserve">Le </w:t>
    </w:r>
    <w:r>
      <w:rPr>
        <w:b/>
        <w:color w:val="E36C0A" w:themeColor="accent6" w:themeShade="BF"/>
        <w:sz w:val="16"/>
        <w:szCs w:val="16"/>
      </w:rPr>
      <w:t>chômage : des coûts salariaux trop élevés ou une insuffisance de la demande</w:t>
    </w:r>
    <w:r w:rsidRPr="00470449">
      <w:rPr>
        <w:b/>
        <w:color w:val="E36C0A" w:themeColor="accent6" w:themeShade="BF"/>
        <w:sz w:val="16"/>
        <w:szCs w:val="16"/>
      </w:rPr>
      <w:t xml:space="preserve"> ? (1/</w:t>
    </w:r>
    <w:r>
      <w:rPr>
        <w:b/>
        <w:color w:val="E36C0A" w:themeColor="accent6" w:themeShade="BF"/>
        <w:sz w:val="16"/>
        <w:szCs w:val="16"/>
      </w:rPr>
      <w:t>3</w:t>
    </w:r>
    <w:r w:rsidRPr="00470449">
      <w:rPr>
        <w:b/>
        <w:color w:val="E36C0A" w:themeColor="accent6" w:themeShade="BF"/>
        <w:sz w:val="16"/>
        <w:szCs w:val="16"/>
      </w:rPr>
      <w:t xml:space="preserve">) </w:t>
    </w:r>
    <w:r>
      <w:rPr>
        <w:b/>
        <w:color w:val="E36C0A" w:themeColor="accent6" w:themeShade="BF"/>
        <w:sz w:val="16"/>
        <w:szCs w:val="16"/>
      </w:rPr>
      <w:t>–Emploi et chômage</w:t>
    </w:r>
    <w:r w:rsidRPr="00470449">
      <w:rPr>
        <w:b/>
        <w:color w:val="E36C0A" w:themeColor="accent6" w:themeShade="BF"/>
        <w:sz w:val="16"/>
        <w:szCs w:val="16"/>
      </w:rPr>
      <w:t xml:space="preserve"> - </w:t>
    </w:r>
    <w:sdt>
      <w:sdtPr>
        <w:rPr>
          <w:b/>
          <w:sz w:val="16"/>
          <w:szCs w:val="16"/>
        </w:rPr>
        <w:id w:val="123790180"/>
        <w:docPartObj>
          <w:docPartGallery w:val="Page Numbers (Top of Page)"/>
          <w:docPartUnique/>
        </w:docPartObj>
      </w:sdtPr>
      <w:sdtContent>
        <w:r w:rsidRPr="00470449">
          <w:rPr>
            <w:b/>
            <w:color w:val="E36C0A" w:themeColor="accent6" w:themeShade="BF"/>
            <w:sz w:val="16"/>
            <w:szCs w:val="16"/>
          </w:rPr>
          <w:t xml:space="preserve">Page </w:t>
        </w:r>
        <w:r w:rsidR="00060029" w:rsidRPr="00470449">
          <w:rPr>
            <w:b/>
            <w:color w:val="E36C0A" w:themeColor="accent6" w:themeShade="BF"/>
            <w:sz w:val="16"/>
            <w:szCs w:val="16"/>
          </w:rPr>
          <w:fldChar w:fldCharType="begin"/>
        </w:r>
        <w:r w:rsidRPr="00470449">
          <w:rPr>
            <w:b/>
            <w:color w:val="E36C0A" w:themeColor="accent6" w:themeShade="BF"/>
            <w:sz w:val="16"/>
            <w:szCs w:val="16"/>
          </w:rPr>
          <w:instrText>PAGE</w:instrText>
        </w:r>
        <w:r w:rsidR="00060029" w:rsidRPr="00470449">
          <w:rPr>
            <w:b/>
            <w:color w:val="E36C0A" w:themeColor="accent6" w:themeShade="BF"/>
            <w:sz w:val="16"/>
            <w:szCs w:val="16"/>
          </w:rPr>
          <w:fldChar w:fldCharType="separate"/>
        </w:r>
        <w:r w:rsidR="005F618E">
          <w:rPr>
            <w:b/>
            <w:color w:val="E36C0A" w:themeColor="accent6" w:themeShade="BF"/>
            <w:sz w:val="16"/>
            <w:szCs w:val="16"/>
          </w:rPr>
          <w:t>5</w:t>
        </w:r>
        <w:r w:rsidR="00060029" w:rsidRPr="00470449">
          <w:rPr>
            <w:b/>
            <w:color w:val="E36C0A" w:themeColor="accent6" w:themeShade="BF"/>
            <w:sz w:val="16"/>
            <w:szCs w:val="16"/>
          </w:rPr>
          <w:fldChar w:fldCharType="end"/>
        </w:r>
        <w:r w:rsidRPr="00470449">
          <w:rPr>
            <w:b/>
            <w:color w:val="E36C0A" w:themeColor="accent6" w:themeShade="BF"/>
            <w:sz w:val="16"/>
            <w:szCs w:val="16"/>
          </w:rPr>
          <w:t xml:space="preserve"> / </w:t>
        </w:r>
        <w:r w:rsidR="00060029" w:rsidRPr="00470449">
          <w:rPr>
            <w:b/>
            <w:color w:val="E36C0A" w:themeColor="accent6" w:themeShade="BF"/>
            <w:sz w:val="16"/>
            <w:szCs w:val="16"/>
          </w:rPr>
          <w:fldChar w:fldCharType="begin"/>
        </w:r>
        <w:r w:rsidRPr="00470449">
          <w:rPr>
            <w:b/>
            <w:color w:val="E36C0A" w:themeColor="accent6" w:themeShade="BF"/>
            <w:sz w:val="16"/>
            <w:szCs w:val="16"/>
          </w:rPr>
          <w:instrText>NUMPAGES</w:instrText>
        </w:r>
        <w:r w:rsidR="00060029" w:rsidRPr="00470449">
          <w:rPr>
            <w:b/>
            <w:color w:val="E36C0A" w:themeColor="accent6" w:themeShade="BF"/>
            <w:sz w:val="16"/>
            <w:szCs w:val="16"/>
          </w:rPr>
          <w:fldChar w:fldCharType="separate"/>
        </w:r>
        <w:r w:rsidR="005F618E">
          <w:rPr>
            <w:b/>
            <w:color w:val="E36C0A" w:themeColor="accent6" w:themeShade="BF"/>
            <w:sz w:val="16"/>
            <w:szCs w:val="16"/>
          </w:rPr>
          <w:t>6</w:t>
        </w:r>
        <w:r w:rsidR="00060029" w:rsidRPr="00470449">
          <w:rPr>
            <w:b/>
            <w:color w:val="E36C0A" w:themeColor="accent6" w:themeShade="BF"/>
            <w:sz w:val="16"/>
            <w:szCs w:val="16"/>
          </w:rPr>
          <w:fldChar w:fldCharType="end"/>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F2108"/>
    <w:multiLevelType w:val="hybridMultilevel"/>
    <w:tmpl w:val="BB706C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8A300FA"/>
    <w:multiLevelType w:val="hybridMultilevel"/>
    <w:tmpl w:val="2556E2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0E6057A"/>
    <w:multiLevelType w:val="hybridMultilevel"/>
    <w:tmpl w:val="9DD46A6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F471331"/>
    <w:multiLevelType w:val="hybridMultilevel"/>
    <w:tmpl w:val="0B68E73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027232B"/>
    <w:multiLevelType w:val="hybridMultilevel"/>
    <w:tmpl w:val="DF8228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55F53CA"/>
    <w:multiLevelType w:val="hybridMultilevel"/>
    <w:tmpl w:val="5038D1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08E78F8"/>
    <w:multiLevelType w:val="hybridMultilevel"/>
    <w:tmpl w:val="9C04F2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5EA19EF"/>
    <w:multiLevelType w:val="hybridMultilevel"/>
    <w:tmpl w:val="805CBD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AE63D5D"/>
    <w:multiLevelType w:val="hybridMultilevel"/>
    <w:tmpl w:val="BDF014B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D9A77CF"/>
    <w:multiLevelType w:val="hybridMultilevel"/>
    <w:tmpl w:val="80E2F5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F1F4800"/>
    <w:multiLevelType w:val="hybridMultilevel"/>
    <w:tmpl w:val="2556E2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08C73CA"/>
    <w:multiLevelType w:val="hybridMultilevel"/>
    <w:tmpl w:val="D70A50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17F6FC7"/>
    <w:multiLevelType w:val="hybridMultilevel"/>
    <w:tmpl w:val="61F4441A"/>
    <w:lvl w:ilvl="0" w:tplc="2B18C10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13F26B6"/>
    <w:multiLevelType w:val="hybridMultilevel"/>
    <w:tmpl w:val="80F489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02D6C5E"/>
    <w:multiLevelType w:val="hybridMultilevel"/>
    <w:tmpl w:val="D70A50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35918B3"/>
    <w:multiLevelType w:val="hybridMultilevel"/>
    <w:tmpl w:val="92BCCD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6B5737F9"/>
    <w:multiLevelType w:val="hybridMultilevel"/>
    <w:tmpl w:val="20C216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71A809EA"/>
    <w:multiLevelType w:val="hybridMultilevel"/>
    <w:tmpl w:val="283E516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763765B6"/>
    <w:multiLevelType w:val="hybridMultilevel"/>
    <w:tmpl w:val="80E2F5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8"/>
  </w:num>
  <w:num w:numId="2">
    <w:abstractNumId w:val="1"/>
  </w:num>
  <w:num w:numId="3">
    <w:abstractNumId w:val="9"/>
  </w:num>
  <w:num w:numId="4">
    <w:abstractNumId w:val="10"/>
  </w:num>
  <w:num w:numId="5">
    <w:abstractNumId w:val="2"/>
  </w:num>
  <w:num w:numId="6">
    <w:abstractNumId w:val="4"/>
  </w:num>
  <w:num w:numId="7">
    <w:abstractNumId w:val="16"/>
  </w:num>
  <w:num w:numId="8">
    <w:abstractNumId w:val="6"/>
  </w:num>
  <w:num w:numId="9">
    <w:abstractNumId w:val="13"/>
  </w:num>
  <w:num w:numId="10">
    <w:abstractNumId w:val="5"/>
  </w:num>
  <w:num w:numId="11">
    <w:abstractNumId w:val="7"/>
  </w:num>
  <w:num w:numId="12">
    <w:abstractNumId w:val="17"/>
  </w:num>
  <w:num w:numId="13">
    <w:abstractNumId w:val="8"/>
  </w:num>
  <w:num w:numId="14">
    <w:abstractNumId w:val="0"/>
  </w:num>
  <w:num w:numId="15">
    <w:abstractNumId w:val="3"/>
  </w:num>
  <w:num w:numId="16">
    <w:abstractNumId w:val="11"/>
  </w:num>
  <w:num w:numId="17">
    <w:abstractNumId w:val="14"/>
  </w:num>
  <w:num w:numId="18">
    <w:abstractNumId w:val="12"/>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1506"/>
  </w:hdrShapeDefaults>
  <w:footnotePr>
    <w:footnote w:id="-1"/>
    <w:footnote w:id="0"/>
  </w:footnotePr>
  <w:endnotePr>
    <w:endnote w:id="-1"/>
    <w:endnote w:id="0"/>
  </w:endnotePr>
  <w:compat/>
  <w:rsids>
    <w:rsidRoot w:val="000B4BC4"/>
    <w:rsid w:val="000358A2"/>
    <w:rsid w:val="00060029"/>
    <w:rsid w:val="000B4BC4"/>
    <w:rsid w:val="000D3A81"/>
    <w:rsid w:val="001339D3"/>
    <w:rsid w:val="00144695"/>
    <w:rsid w:val="001A48D1"/>
    <w:rsid w:val="001F0B29"/>
    <w:rsid w:val="001F7114"/>
    <w:rsid w:val="00236147"/>
    <w:rsid w:val="00240865"/>
    <w:rsid w:val="002665F6"/>
    <w:rsid w:val="0027652D"/>
    <w:rsid w:val="00293153"/>
    <w:rsid w:val="00295153"/>
    <w:rsid w:val="00311B03"/>
    <w:rsid w:val="0033434C"/>
    <w:rsid w:val="003648B1"/>
    <w:rsid w:val="00366AAF"/>
    <w:rsid w:val="003A5FEC"/>
    <w:rsid w:val="003C1D9F"/>
    <w:rsid w:val="003F050B"/>
    <w:rsid w:val="003F15FE"/>
    <w:rsid w:val="003F7CEF"/>
    <w:rsid w:val="00427771"/>
    <w:rsid w:val="00470449"/>
    <w:rsid w:val="00472008"/>
    <w:rsid w:val="00475E59"/>
    <w:rsid w:val="00494E60"/>
    <w:rsid w:val="004B17B8"/>
    <w:rsid w:val="004F203B"/>
    <w:rsid w:val="004F3150"/>
    <w:rsid w:val="00526B61"/>
    <w:rsid w:val="005733C9"/>
    <w:rsid w:val="005D7229"/>
    <w:rsid w:val="005E0DCB"/>
    <w:rsid w:val="005E2BA0"/>
    <w:rsid w:val="005F5BFF"/>
    <w:rsid w:val="005F618E"/>
    <w:rsid w:val="00604D78"/>
    <w:rsid w:val="00643DF5"/>
    <w:rsid w:val="0066343B"/>
    <w:rsid w:val="006E11F2"/>
    <w:rsid w:val="006F2CFD"/>
    <w:rsid w:val="007114AF"/>
    <w:rsid w:val="00764CBE"/>
    <w:rsid w:val="00784272"/>
    <w:rsid w:val="00835D77"/>
    <w:rsid w:val="00865FFB"/>
    <w:rsid w:val="008A40B7"/>
    <w:rsid w:val="00913EA6"/>
    <w:rsid w:val="009273FC"/>
    <w:rsid w:val="00934528"/>
    <w:rsid w:val="00944B76"/>
    <w:rsid w:val="009677D4"/>
    <w:rsid w:val="00975870"/>
    <w:rsid w:val="00991A7E"/>
    <w:rsid w:val="009A1C9D"/>
    <w:rsid w:val="009A66B8"/>
    <w:rsid w:val="009E527E"/>
    <w:rsid w:val="00A83812"/>
    <w:rsid w:val="00AB2FAA"/>
    <w:rsid w:val="00AB663F"/>
    <w:rsid w:val="00AC5C14"/>
    <w:rsid w:val="00AC647F"/>
    <w:rsid w:val="00AD4EF4"/>
    <w:rsid w:val="00AE78C9"/>
    <w:rsid w:val="00B3054B"/>
    <w:rsid w:val="00B8046E"/>
    <w:rsid w:val="00BC100A"/>
    <w:rsid w:val="00BF5207"/>
    <w:rsid w:val="00C015AA"/>
    <w:rsid w:val="00C76042"/>
    <w:rsid w:val="00C85D49"/>
    <w:rsid w:val="00D45E9F"/>
    <w:rsid w:val="00D626B6"/>
    <w:rsid w:val="00DA7404"/>
    <w:rsid w:val="00DB7DA8"/>
    <w:rsid w:val="00DC2C2A"/>
    <w:rsid w:val="00DD44CF"/>
    <w:rsid w:val="00DF5C67"/>
    <w:rsid w:val="00E4271E"/>
    <w:rsid w:val="00E42B85"/>
    <w:rsid w:val="00EC01F9"/>
    <w:rsid w:val="00EF7CA9"/>
    <w:rsid w:val="00F027D7"/>
    <w:rsid w:val="00F26EB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E60"/>
    <w:pPr>
      <w:widowControl w:val="0"/>
      <w:autoSpaceDE w:val="0"/>
      <w:autoSpaceDN w:val="0"/>
      <w:adjustRightInd w:val="0"/>
      <w:spacing w:after="0" w:line="240" w:lineRule="auto"/>
      <w:jc w:val="both"/>
    </w:pPr>
    <w:rPr>
      <w:rFonts w:ascii="Times New Roman" w:hAnsi="Times New Roman" w:cs="Arial"/>
      <w:sz w:val="24"/>
      <w:lang w:eastAsia="fr-FR"/>
    </w:rPr>
  </w:style>
  <w:style w:type="paragraph" w:styleId="Titre2">
    <w:name w:val="heading 2"/>
    <w:basedOn w:val="Normal"/>
    <w:link w:val="Titre2Car"/>
    <w:uiPriority w:val="9"/>
    <w:qFormat/>
    <w:rsid w:val="0033434C"/>
    <w:pPr>
      <w:widowControl/>
      <w:autoSpaceDE/>
      <w:autoSpaceDN/>
      <w:adjustRightInd/>
      <w:spacing w:before="100" w:beforeAutospacing="1" w:after="100" w:afterAutospacing="1"/>
      <w:jc w:val="left"/>
      <w:outlineLvl w:val="1"/>
    </w:pPr>
    <w:rPr>
      <w:rFonts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B4BC4"/>
    <w:rPr>
      <w:rFonts w:ascii="Tahoma" w:hAnsi="Tahoma" w:cs="Tahoma"/>
      <w:sz w:val="16"/>
      <w:szCs w:val="16"/>
    </w:rPr>
  </w:style>
  <w:style w:type="character" w:customStyle="1" w:styleId="TextedebullesCar">
    <w:name w:val="Texte de bulles Car"/>
    <w:basedOn w:val="Policepardfaut"/>
    <w:link w:val="Textedebulles"/>
    <w:uiPriority w:val="99"/>
    <w:semiHidden/>
    <w:rsid w:val="000B4BC4"/>
    <w:rPr>
      <w:rFonts w:ascii="Tahoma" w:hAnsi="Tahoma" w:cs="Tahoma"/>
      <w:sz w:val="16"/>
      <w:szCs w:val="16"/>
      <w:lang w:eastAsia="fr-FR"/>
    </w:rPr>
  </w:style>
  <w:style w:type="paragraph" w:styleId="En-tte">
    <w:name w:val="header"/>
    <w:basedOn w:val="Normal"/>
    <w:link w:val="En-tteCar"/>
    <w:uiPriority w:val="99"/>
    <w:unhideWhenUsed/>
    <w:rsid w:val="000B4BC4"/>
    <w:pPr>
      <w:tabs>
        <w:tab w:val="center" w:pos="4536"/>
        <w:tab w:val="right" w:pos="9072"/>
      </w:tabs>
    </w:pPr>
  </w:style>
  <w:style w:type="character" w:customStyle="1" w:styleId="En-tteCar">
    <w:name w:val="En-tête Car"/>
    <w:basedOn w:val="Policepardfaut"/>
    <w:link w:val="En-tte"/>
    <w:uiPriority w:val="99"/>
    <w:rsid w:val="000B4BC4"/>
    <w:rPr>
      <w:rFonts w:ascii="Times New Roman" w:hAnsi="Times New Roman" w:cs="Arial"/>
      <w:sz w:val="24"/>
      <w:lang w:eastAsia="fr-FR"/>
    </w:rPr>
  </w:style>
  <w:style w:type="paragraph" w:styleId="Pieddepage">
    <w:name w:val="footer"/>
    <w:basedOn w:val="Normal"/>
    <w:link w:val="PieddepageCar"/>
    <w:uiPriority w:val="99"/>
    <w:semiHidden/>
    <w:unhideWhenUsed/>
    <w:rsid w:val="000B4BC4"/>
    <w:pPr>
      <w:tabs>
        <w:tab w:val="center" w:pos="4536"/>
        <w:tab w:val="right" w:pos="9072"/>
      </w:tabs>
    </w:pPr>
  </w:style>
  <w:style w:type="character" w:customStyle="1" w:styleId="PieddepageCar">
    <w:name w:val="Pied de page Car"/>
    <w:basedOn w:val="Policepardfaut"/>
    <w:link w:val="Pieddepage"/>
    <w:uiPriority w:val="99"/>
    <w:semiHidden/>
    <w:rsid w:val="000B4BC4"/>
    <w:rPr>
      <w:rFonts w:ascii="Times New Roman" w:hAnsi="Times New Roman" w:cs="Arial"/>
      <w:sz w:val="24"/>
      <w:lang w:eastAsia="fr-FR"/>
    </w:rPr>
  </w:style>
  <w:style w:type="character" w:styleId="Textedelespacerserv">
    <w:name w:val="Placeholder Text"/>
    <w:basedOn w:val="Policepardfaut"/>
    <w:uiPriority w:val="99"/>
    <w:semiHidden/>
    <w:rsid w:val="00DD44CF"/>
    <w:rPr>
      <w:color w:val="808080"/>
    </w:rPr>
  </w:style>
  <w:style w:type="character" w:customStyle="1" w:styleId="Titre2Car">
    <w:name w:val="Titre 2 Car"/>
    <w:basedOn w:val="Policepardfaut"/>
    <w:link w:val="Titre2"/>
    <w:uiPriority w:val="9"/>
    <w:rsid w:val="0033434C"/>
    <w:rPr>
      <w:rFonts w:ascii="Times New Roman" w:hAnsi="Times New Roman" w:cs="Times New Roman"/>
      <w:b/>
      <w:bCs/>
      <w:sz w:val="36"/>
      <w:szCs w:val="36"/>
      <w:lang w:eastAsia="fr-FR"/>
    </w:rPr>
  </w:style>
  <w:style w:type="character" w:styleId="Lienhypertexte">
    <w:name w:val="Hyperlink"/>
    <w:basedOn w:val="Policepardfaut"/>
    <w:uiPriority w:val="99"/>
    <w:unhideWhenUsed/>
    <w:rsid w:val="003648B1"/>
    <w:rPr>
      <w:color w:val="0000FF" w:themeColor="hyperlink"/>
      <w:u w:val="single"/>
    </w:rPr>
  </w:style>
  <w:style w:type="paragraph" w:styleId="Paragraphedeliste">
    <w:name w:val="List Paragraph"/>
    <w:basedOn w:val="Normal"/>
    <w:uiPriority w:val="34"/>
    <w:qFormat/>
    <w:rsid w:val="003648B1"/>
    <w:pPr>
      <w:ind w:left="720"/>
      <w:contextualSpacing/>
    </w:pPr>
  </w:style>
  <w:style w:type="character" w:styleId="Lienhypertextesuivivisit">
    <w:name w:val="FollowedHyperlink"/>
    <w:basedOn w:val="Policepardfaut"/>
    <w:uiPriority w:val="99"/>
    <w:semiHidden/>
    <w:unhideWhenUsed/>
    <w:rsid w:val="00784272"/>
    <w:rPr>
      <w:color w:val="800080" w:themeColor="followedHyperlink"/>
      <w:u w:val="single"/>
    </w:rPr>
  </w:style>
  <w:style w:type="table" w:styleId="Grilledutableau">
    <w:name w:val="Table Grid"/>
    <w:basedOn w:val="TableauNormal"/>
    <w:uiPriority w:val="59"/>
    <w:rsid w:val="00366A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xt">
    <w:name w:val="txt"/>
    <w:basedOn w:val="Policepardfaut"/>
    <w:rsid w:val="00835D77"/>
  </w:style>
</w:styles>
</file>

<file path=word/webSettings.xml><?xml version="1.0" encoding="utf-8"?>
<w:webSettings xmlns:r="http://schemas.openxmlformats.org/officeDocument/2006/relationships" xmlns:w="http://schemas.openxmlformats.org/wordprocessingml/2006/main">
  <w:divs>
    <w:div w:id="141318025">
      <w:bodyDiv w:val="1"/>
      <w:marLeft w:val="0"/>
      <w:marRight w:val="0"/>
      <w:marTop w:val="0"/>
      <w:marBottom w:val="0"/>
      <w:divBdr>
        <w:top w:val="none" w:sz="0" w:space="0" w:color="auto"/>
        <w:left w:val="none" w:sz="0" w:space="0" w:color="auto"/>
        <w:bottom w:val="none" w:sz="0" w:space="0" w:color="auto"/>
        <w:right w:val="none" w:sz="0" w:space="0" w:color="auto"/>
      </w:divBdr>
    </w:div>
    <w:div w:id="710224438">
      <w:bodyDiv w:val="1"/>
      <w:marLeft w:val="0"/>
      <w:marRight w:val="0"/>
      <w:marTop w:val="0"/>
      <w:marBottom w:val="0"/>
      <w:divBdr>
        <w:top w:val="none" w:sz="0" w:space="0" w:color="auto"/>
        <w:left w:val="none" w:sz="0" w:space="0" w:color="auto"/>
        <w:bottom w:val="none" w:sz="0" w:space="0" w:color="auto"/>
        <w:right w:val="none" w:sz="0" w:space="0" w:color="auto"/>
      </w:divBdr>
    </w:div>
    <w:div w:id="163605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dm.insee.fr/bdm2/affichageSeries?idbank=001002693&amp;bouton=OK&amp;codeGroupe=62" TargetMode="External"/><Relationship Id="rId17" Type="http://schemas.openxmlformats.org/officeDocument/2006/relationships/hyperlink" Target="http://www.bdm.insee.fr/bdm2/affichageSeries?idbank=001664987&amp;page=tableau&amp;codeGroupe=1471&amp;recherche=criteres" TargetMode="External"/><Relationship Id="rId2" Type="http://schemas.openxmlformats.org/officeDocument/2006/relationships/numbering" Target="numbering.xml"/><Relationship Id="rId16" Type="http://schemas.openxmlformats.org/officeDocument/2006/relationships/hyperlink" Target="http://www.bdm.insee.fr/bdm2/affichageSeries?idbank=001665064&amp;bouton=OK&amp;codeGroupe=147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dm.insee.fr/bdm2/affichageSeries?idbank=000067677&amp;bouton=OK&amp;codeGroupe=1504"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nsee.fr/fr/themes/theme.asp?theme=16&amp;sous_theme=5.2.2" TargetMode="External"/><Relationship Id="rId14" Type="http://schemas.openxmlformats.org/officeDocument/2006/relationships/hyperlink" Target="http://www.bdm.insee.fr/bdm2/affichageSeries?idbank=001665066&amp;idbank=001665069&amp;idbank=001665070&amp;idbank=001665071&amp;idbank=001665072&amp;idbank=001665073&amp;idbank=001665074&amp;idbank=001665075&amp;idbank=001665076&amp;idbank=001665077&amp;idbank=001665078&amp;idbank=001665079&amp;idbank="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BEA1B7-C9E8-4D29-8264-C94E28EEB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6</Pages>
  <Words>1564</Words>
  <Characters>8608</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BRUNO</cp:lastModifiedBy>
  <cp:revision>16</cp:revision>
  <cp:lastPrinted>2015-05-19T14:43:00Z</cp:lastPrinted>
  <dcterms:created xsi:type="dcterms:W3CDTF">2015-03-17T13:37:00Z</dcterms:created>
  <dcterms:modified xsi:type="dcterms:W3CDTF">2015-05-19T14:43:00Z</dcterms:modified>
</cp:coreProperties>
</file>