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6" w:rsidRPr="000B4BC4" w:rsidRDefault="009C26FF" w:rsidP="00DE2926">
      <w:pPr>
        <w:jc w:val="center"/>
        <w:rPr>
          <w:b/>
          <w:color w:val="4F81BD" w:themeColor="accent1"/>
          <w:sz w:val="32"/>
          <w:szCs w:val="32"/>
        </w:rPr>
      </w:pPr>
      <w:r>
        <w:rPr>
          <w:b/>
          <w:color w:val="4F81BD" w:themeColor="accent1"/>
          <w:sz w:val="32"/>
          <w:szCs w:val="32"/>
        </w:rPr>
        <w:t>La pollution : comment remédier aux limites du marché</w:t>
      </w:r>
      <w:r w:rsidR="00DE2926" w:rsidRPr="000B4BC4">
        <w:rPr>
          <w:b/>
          <w:color w:val="4F81BD" w:themeColor="accent1"/>
          <w:sz w:val="32"/>
          <w:szCs w:val="32"/>
        </w:rPr>
        <w:t xml:space="preserve"> ? (</w:t>
      </w:r>
      <w:r w:rsidR="00E056AD">
        <w:rPr>
          <w:b/>
          <w:color w:val="4F81BD" w:themeColor="accent1"/>
          <w:sz w:val="32"/>
          <w:szCs w:val="32"/>
        </w:rPr>
        <w:t>2</w:t>
      </w:r>
      <w:r w:rsidR="00DE2926" w:rsidRPr="000B4BC4">
        <w:rPr>
          <w:b/>
          <w:color w:val="4F81BD" w:themeColor="accent1"/>
          <w:sz w:val="32"/>
          <w:szCs w:val="32"/>
        </w:rPr>
        <w:t>/</w:t>
      </w:r>
      <w:r>
        <w:rPr>
          <w:b/>
          <w:color w:val="4F81BD" w:themeColor="accent1"/>
          <w:sz w:val="32"/>
          <w:szCs w:val="32"/>
        </w:rPr>
        <w:t>2</w:t>
      </w:r>
      <w:r w:rsidR="00DE2926" w:rsidRPr="000B4BC4">
        <w:rPr>
          <w:b/>
          <w:color w:val="4F81BD" w:themeColor="accent1"/>
          <w:sz w:val="32"/>
          <w:szCs w:val="32"/>
        </w:rPr>
        <w:t>)</w:t>
      </w:r>
    </w:p>
    <w:p w:rsidR="00DE2926" w:rsidRPr="000B4BC4" w:rsidRDefault="00E056AD" w:rsidP="00DE2926">
      <w:pPr>
        <w:jc w:val="center"/>
        <w:rPr>
          <w:b/>
          <w:color w:val="4F81BD" w:themeColor="accent1"/>
          <w:sz w:val="32"/>
          <w:szCs w:val="32"/>
        </w:rPr>
      </w:pPr>
      <w:r>
        <w:rPr>
          <w:b/>
          <w:color w:val="4F81BD" w:themeColor="accent1"/>
          <w:sz w:val="32"/>
          <w:szCs w:val="32"/>
        </w:rPr>
        <w:t>L’intervention de l’</w:t>
      </w:r>
      <w:r>
        <w:rPr>
          <w:rFonts w:cs="Times New Roman"/>
          <w:b/>
          <w:color w:val="4F81BD" w:themeColor="accent1"/>
          <w:sz w:val="32"/>
          <w:szCs w:val="32"/>
        </w:rPr>
        <w:t>É</w:t>
      </w:r>
      <w:r>
        <w:rPr>
          <w:b/>
          <w:color w:val="4F81BD" w:themeColor="accent1"/>
          <w:sz w:val="32"/>
          <w:szCs w:val="32"/>
        </w:rPr>
        <w:t>tat</w:t>
      </w:r>
    </w:p>
    <w:p w:rsidR="00293153" w:rsidRDefault="00293153"/>
    <w:p w:rsidR="00C57948" w:rsidRDefault="00C57948" w:rsidP="00C57948"/>
    <w:tbl>
      <w:tblPr>
        <w:tblStyle w:val="Grilledutableau"/>
        <w:tblW w:w="0" w:type="auto"/>
        <w:tblLook w:val="04A0"/>
      </w:tblPr>
      <w:tblGrid>
        <w:gridCol w:w="9210"/>
      </w:tblGrid>
      <w:tr w:rsidR="00C57948" w:rsidTr="00523DDC">
        <w:tc>
          <w:tcPr>
            <w:tcW w:w="9210" w:type="dxa"/>
          </w:tcPr>
          <w:p w:rsidR="00AB22EC" w:rsidRPr="00A83812" w:rsidRDefault="00AB22EC" w:rsidP="00AB22EC">
            <w:pPr>
              <w:rPr>
                <w:b/>
                <w:u w:val="single"/>
              </w:rPr>
            </w:pPr>
            <w:r w:rsidRPr="00A83812">
              <w:rPr>
                <w:b/>
                <w:u w:val="single"/>
              </w:rPr>
              <w:t>Synthèse collective évaluée :</w:t>
            </w:r>
          </w:p>
          <w:p w:rsidR="00AB22EC" w:rsidRDefault="00AB22EC" w:rsidP="00AB22EC"/>
          <w:p w:rsidR="00C57948" w:rsidRPr="00AB22EC" w:rsidRDefault="00AB22EC" w:rsidP="00E056AD">
            <w:pPr>
              <w:ind w:left="360"/>
            </w:pPr>
            <w:r w:rsidRPr="00AB22EC">
              <w:rPr>
                <w:b/>
              </w:rPr>
              <w:t xml:space="preserve">En vous aidant du module en ligne et de vos réponses aux questions accompagnant les documents suivants vous </w:t>
            </w:r>
            <w:r>
              <w:rPr>
                <w:b/>
              </w:rPr>
              <w:t xml:space="preserve">indiquerez </w:t>
            </w:r>
            <w:r w:rsidR="00E056AD">
              <w:rPr>
                <w:b/>
              </w:rPr>
              <w:t>comment l’</w:t>
            </w:r>
            <w:r w:rsidR="00E056AD">
              <w:rPr>
                <w:rFonts w:cs="Times New Roman"/>
                <w:b/>
              </w:rPr>
              <w:t>É</w:t>
            </w:r>
            <w:r w:rsidR="00E056AD">
              <w:rPr>
                <w:b/>
              </w:rPr>
              <w:t>tat peut corriger des externalités négatives comme la pollution qui ne sont pas prises en compte par le fonctionnement classique des marchés concurrentiels.</w:t>
            </w:r>
          </w:p>
        </w:tc>
      </w:tr>
    </w:tbl>
    <w:p w:rsidR="00C57948" w:rsidRDefault="00C57948" w:rsidP="00C57948"/>
    <w:p w:rsidR="00C57948" w:rsidRDefault="00C57948" w:rsidP="00C57948"/>
    <w:p w:rsidR="00C57948" w:rsidRPr="003648B1" w:rsidRDefault="00C57948" w:rsidP="00C57948">
      <w:pPr>
        <w:rPr>
          <w:b/>
        </w:rPr>
      </w:pPr>
      <w:r w:rsidRPr="003648B1">
        <w:rPr>
          <w:b/>
        </w:rPr>
        <w:t xml:space="preserve">Document </w:t>
      </w:r>
      <w:r>
        <w:rPr>
          <w:b/>
        </w:rPr>
        <w:t>1</w:t>
      </w:r>
    </w:p>
    <w:p w:rsidR="00666CF3" w:rsidRDefault="00666CF3"/>
    <w:p w:rsidR="001528E1" w:rsidRDefault="001528E1" w:rsidP="004C469A">
      <w:r w:rsidRPr="004C469A">
        <w:t>Un paradoxe ressort : le prix du baril de brut a baissé de moitié entre 2014 et 2016 alors que celui à la pompe n'a baissé que d'un quart. La faute à la taxation du carburant. Voici les éléments qui la composent :</w:t>
      </w:r>
    </w:p>
    <w:p w:rsidR="004C469A" w:rsidRPr="004C469A" w:rsidRDefault="004C469A" w:rsidP="004C469A"/>
    <w:p w:rsidR="004C469A" w:rsidRDefault="001528E1" w:rsidP="004C469A">
      <w:r w:rsidRPr="004C469A">
        <w:rPr>
          <w:b/>
        </w:rPr>
        <w:t>TVA</w:t>
      </w:r>
      <w:r w:rsidRPr="004C469A">
        <w:t xml:space="preserve"> </w:t>
      </w:r>
      <w:r w:rsidRPr="004C469A">
        <w:rPr>
          <w:rFonts w:ascii="Cambria Math" w:hAnsi="Cambria Math" w:cs="Cambria Math"/>
        </w:rPr>
        <w:t>⇒</w:t>
      </w:r>
      <w:r w:rsidRPr="004C469A">
        <w:t> D'abord, le carburant est soumis à la taxe sur la valeur ajoutée au taux dit "normal" de 20%,</w:t>
      </w:r>
    </w:p>
    <w:p w:rsidR="004C469A" w:rsidRDefault="004C469A" w:rsidP="004C469A"/>
    <w:p w:rsidR="004C469A" w:rsidRDefault="001528E1" w:rsidP="004C469A">
      <w:r w:rsidRPr="004C469A">
        <w:rPr>
          <w:b/>
        </w:rPr>
        <w:t>TICPE</w:t>
      </w:r>
      <w:r w:rsidRPr="004C469A">
        <w:t> </w:t>
      </w:r>
      <w:r w:rsidRPr="004C469A">
        <w:rPr>
          <w:rFonts w:ascii="Cambria Math" w:hAnsi="Cambria Math" w:cs="Cambria Math"/>
        </w:rPr>
        <w:t>⇒</w:t>
      </w:r>
      <w:r w:rsidRPr="004C469A">
        <w:t>  Puis à la Taxe intérieure de consommation sur les produits énergétiques</w:t>
      </w:r>
    </w:p>
    <w:p w:rsidR="004C469A" w:rsidRDefault="001528E1" w:rsidP="004C469A">
      <w:pPr>
        <w:pStyle w:val="Paragraphedeliste"/>
        <w:numPr>
          <w:ilvl w:val="0"/>
          <w:numId w:val="17"/>
        </w:numPr>
      </w:pPr>
      <w:r w:rsidRPr="004C469A">
        <w:t>0,498 euro/litre de gazole</w:t>
      </w:r>
    </w:p>
    <w:p w:rsidR="004C469A" w:rsidRDefault="001528E1" w:rsidP="004C469A">
      <w:pPr>
        <w:pStyle w:val="Paragraphedeliste"/>
        <w:numPr>
          <w:ilvl w:val="0"/>
          <w:numId w:val="17"/>
        </w:numPr>
      </w:pPr>
      <w:r w:rsidRPr="004C469A">
        <w:t>0,621 euro/ litre d'essence</w:t>
      </w:r>
    </w:p>
    <w:p w:rsidR="004C469A" w:rsidRDefault="004C469A" w:rsidP="004C469A"/>
    <w:p w:rsidR="004C469A" w:rsidRDefault="004C469A" w:rsidP="004C469A">
      <w:r>
        <w:t xml:space="preserve">Cette taxe intègre </w:t>
      </w:r>
      <w:r w:rsidR="001528E1" w:rsidRPr="004C469A">
        <w:t xml:space="preserve">une composante carbone qui pèse chaque année un peu plus </w:t>
      </w:r>
      <w:proofErr w:type="gramStart"/>
      <w:r w:rsidR="001528E1" w:rsidRPr="004C469A">
        <w:t>lourd</w:t>
      </w:r>
      <w:proofErr w:type="gramEnd"/>
      <w:r w:rsidR="001528E1" w:rsidRPr="004C469A">
        <w:t xml:space="preserve"> depuis son instauration en 2014. En clair, les émissions de CO2 sont taxées à hauteur de 22 euros/tonne de CO2 en 2016 (contre 14,5 euros/tonne CO2 en 2015 et 7 euros/tonneCO2 en  2014).</w:t>
      </w:r>
    </w:p>
    <w:p w:rsidR="004C469A" w:rsidRDefault="004C469A" w:rsidP="004C469A"/>
    <w:p w:rsidR="004C469A" w:rsidRDefault="001528E1" w:rsidP="004C469A">
      <w:r w:rsidRPr="004C469A">
        <w:t>En outre, le rapprochement des TICPE du diesel et de l'essence a été engagé en 2016. Cela s'est déjà traduit par une augmentation de 1</w:t>
      </w:r>
      <w:r w:rsidR="004C469A">
        <w:t> </w:t>
      </w:r>
      <w:r w:rsidRPr="004C469A">
        <w:t>ct/litre pour le diesel et une baisse de 1</w:t>
      </w:r>
      <w:r w:rsidR="004C469A">
        <w:t> </w:t>
      </w:r>
      <w:r w:rsidRPr="004C469A">
        <w:t>centime/litre pour l'essence. Une nouvelle évolution +1ct/-1ct aura lieu en 2017.</w:t>
      </w:r>
    </w:p>
    <w:p w:rsidR="004C469A" w:rsidRDefault="004C469A" w:rsidP="004C469A"/>
    <w:p w:rsidR="001528E1" w:rsidRPr="004C469A" w:rsidRDefault="001528E1" w:rsidP="004C469A">
      <w:r w:rsidRPr="004C469A">
        <w:rPr>
          <w:b/>
        </w:rPr>
        <w:t>TVA sur la TICPE</w:t>
      </w:r>
      <w:r w:rsidRPr="004C469A">
        <w:t> </w:t>
      </w:r>
      <w:r w:rsidRPr="004C469A">
        <w:rPr>
          <w:rFonts w:ascii="Cambria Math" w:hAnsi="Cambria Math" w:cs="Cambria Math"/>
        </w:rPr>
        <w:t>⇒</w:t>
      </w:r>
      <w:r w:rsidRPr="004C469A">
        <w:t>  Enfin, cette TICPE est assortie de sa propre TVA, qui devient alors un impôt sur l'impôt.</w:t>
      </w:r>
    </w:p>
    <w:p w:rsidR="00A81163" w:rsidRDefault="00A81163" w:rsidP="00A81163"/>
    <w:p w:rsidR="00A81163" w:rsidRPr="00A81163" w:rsidRDefault="004C469A" w:rsidP="00A81163">
      <w:pPr>
        <w:jc w:val="right"/>
        <w:rPr>
          <w:b/>
          <w:i/>
        </w:rPr>
      </w:pPr>
      <w:proofErr w:type="spellStart"/>
      <w:r>
        <w:rPr>
          <w:b/>
          <w:i/>
        </w:rPr>
        <w:t>MetroNews</w:t>
      </w:r>
      <w:proofErr w:type="spellEnd"/>
      <w:r>
        <w:rPr>
          <w:b/>
          <w:i/>
        </w:rPr>
        <w:t xml:space="preserve">, </w:t>
      </w:r>
      <w:hyperlink r:id="rId7" w:history="1">
        <w:r w:rsidRPr="004C469A">
          <w:rPr>
            <w:rStyle w:val="Lienhypertexte"/>
            <w:b/>
            <w:i/>
          </w:rPr>
          <w:t>le 15 mars 2016</w:t>
        </w:r>
      </w:hyperlink>
    </w:p>
    <w:p w:rsidR="00A81163" w:rsidRDefault="00A81163" w:rsidP="00A81163"/>
    <w:p w:rsidR="00A81163" w:rsidRDefault="004C469A" w:rsidP="00A81163">
      <w:pPr>
        <w:pStyle w:val="Paragraphedeliste"/>
        <w:numPr>
          <w:ilvl w:val="0"/>
          <w:numId w:val="7"/>
        </w:numPr>
      </w:pPr>
      <w:r>
        <w:t>Quelles sont les deux taxes qui pèsent sur le prix de l’essence</w:t>
      </w:r>
      <w:r w:rsidR="00A81163">
        <w:t> ?</w:t>
      </w:r>
    </w:p>
    <w:p w:rsidR="00A81163" w:rsidRDefault="004C469A" w:rsidP="00A81163">
      <w:pPr>
        <w:pStyle w:val="Paragraphedeliste"/>
        <w:numPr>
          <w:ilvl w:val="0"/>
          <w:numId w:val="7"/>
        </w:numPr>
      </w:pPr>
      <w:r>
        <w:t>Visent-elles toutes les deux à réduire la pollution</w:t>
      </w:r>
      <w:r w:rsidR="00A81163">
        <w:t> ?</w:t>
      </w:r>
    </w:p>
    <w:p w:rsidR="00A81163" w:rsidRDefault="004C469A" w:rsidP="00A81163">
      <w:pPr>
        <w:pStyle w:val="Paragraphedeliste"/>
        <w:numPr>
          <w:ilvl w:val="0"/>
          <w:numId w:val="7"/>
        </w:numPr>
      </w:pPr>
      <w:r>
        <w:t>Pour quelles raisons la composante carbone de la TICPE s’accroît-elle</w:t>
      </w:r>
      <w:r w:rsidR="006F4C0F">
        <w:t> ?</w:t>
      </w:r>
    </w:p>
    <w:p w:rsidR="004C469A" w:rsidRDefault="004C469A" w:rsidP="00A81163">
      <w:pPr>
        <w:pStyle w:val="Paragraphedeliste"/>
        <w:numPr>
          <w:ilvl w:val="0"/>
          <w:numId w:val="7"/>
        </w:numPr>
      </w:pPr>
      <w:r>
        <w:t>Pourquoi cherche-t-on à rapprocher la TICPE du gazole et de l’essence ?</w:t>
      </w:r>
    </w:p>
    <w:p w:rsidR="00AC24EF" w:rsidRDefault="00AC24EF" w:rsidP="00AC24EF"/>
    <w:p w:rsidR="00AC24EF" w:rsidRDefault="00AC24EF">
      <w:pPr>
        <w:widowControl/>
        <w:autoSpaceDE/>
        <w:autoSpaceDN/>
        <w:adjustRightInd/>
        <w:spacing w:after="200" w:line="276" w:lineRule="auto"/>
        <w:jc w:val="left"/>
      </w:pPr>
      <w:r>
        <w:br w:type="page"/>
      </w:r>
    </w:p>
    <w:p w:rsidR="00AC24EF" w:rsidRPr="003648B1" w:rsidRDefault="00AC24EF" w:rsidP="00AC24EF">
      <w:pPr>
        <w:rPr>
          <w:b/>
        </w:rPr>
      </w:pPr>
      <w:r w:rsidRPr="003648B1">
        <w:rPr>
          <w:b/>
        </w:rPr>
        <w:lastRenderedPageBreak/>
        <w:t xml:space="preserve">Document </w:t>
      </w:r>
      <w:r>
        <w:rPr>
          <w:b/>
        </w:rPr>
        <w:t>2</w:t>
      </w:r>
    </w:p>
    <w:p w:rsidR="00AC24EF" w:rsidRDefault="00AC24EF" w:rsidP="00AC24EF"/>
    <w:p w:rsidR="00EF5913" w:rsidRDefault="00EF5913" w:rsidP="00AC24EF">
      <w:r>
        <w:t>Le Bonus / Malus écologique en 2016</w:t>
      </w:r>
    </w:p>
    <w:p w:rsidR="00EF5913" w:rsidRDefault="00EF5913" w:rsidP="00AC24EF">
      <w:r w:rsidRPr="00EF5913">
        <w:rPr>
          <w:rStyle w:val="lev"/>
          <w:b w:val="0"/>
        </w:rPr>
        <w:t>Le système bonus-malus</w:t>
      </w:r>
      <w:r>
        <w:rPr>
          <w:bCs/>
        </w:rPr>
        <w:t xml:space="preserve"> vise à récompenser, via un bonus, les acquéreurs de voitures neuves émettant le moins de CO2, et à pénaliser, via un malus, ceux qui optent pour les modèles les plus polluants.</w:t>
      </w:r>
      <w:r w:rsidR="008D16B5">
        <w:rPr>
          <w:bCs/>
        </w:rPr>
        <w:t xml:space="preserve"> [Ce système est entré en vigueur au 1</w:t>
      </w:r>
      <w:r w:rsidR="008D16B5">
        <w:rPr>
          <w:bCs/>
          <w:vertAlign w:val="superscript"/>
        </w:rPr>
        <w:t>er</w:t>
      </w:r>
      <w:r w:rsidR="008D16B5">
        <w:rPr>
          <w:bCs/>
        </w:rPr>
        <w:t xml:space="preserve"> janvier 2008.]</w:t>
      </w:r>
    </w:p>
    <w:tbl>
      <w:tblPr>
        <w:tblW w:w="9096"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48"/>
        <w:gridCol w:w="4548"/>
      </w:tblGrid>
      <w:tr w:rsidR="00072F67" w:rsidRPr="0034036D" w:rsidTr="0034036D">
        <w:trPr>
          <w:trHeight w:hRule="exact" w:val="284"/>
          <w:tblCellSpacing w:w="7" w:type="dxa"/>
        </w:trPr>
        <w:tc>
          <w:tcPr>
            <w:tcW w:w="4527" w:type="dxa"/>
            <w:tcMar>
              <w:top w:w="0" w:type="dxa"/>
              <w:left w:w="0" w:type="dxa"/>
              <w:bottom w:w="0" w:type="dxa"/>
              <w:right w:w="0" w:type="dxa"/>
            </w:tcMar>
            <w:vAlign w:val="center"/>
            <w:hideMark/>
          </w:tcPr>
          <w:p w:rsidR="00072F67" w:rsidRPr="0034036D" w:rsidRDefault="00072F67" w:rsidP="0034036D">
            <w:pPr>
              <w:jc w:val="center"/>
              <w:rPr>
                <w:b/>
                <w:sz w:val="20"/>
                <w:szCs w:val="20"/>
              </w:rPr>
            </w:pPr>
            <w:r w:rsidRPr="0034036D">
              <w:rPr>
                <w:b/>
                <w:sz w:val="20"/>
                <w:szCs w:val="20"/>
              </w:rPr>
              <w:t>Taux d’émission de CO2 (en grammes par kilomètre)</w:t>
            </w:r>
          </w:p>
        </w:tc>
        <w:tc>
          <w:tcPr>
            <w:tcW w:w="4527" w:type="dxa"/>
            <w:tcMar>
              <w:top w:w="0" w:type="dxa"/>
              <w:left w:w="0" w:type="dxa"/>
              <w:bottom w:w="0" w:type="dxa"/>
              <w:right w:w="0" w:type="dxa"/>
            </w:tcMar>
            <w:vAlign w:val="center"/>
            <w:hideMark/>
          </w:tcPr>
          <w:p w:rsidR="00072F67" w:rsidRPr="0034036D" w:rsidRDefault="00072F67" w:rsidP="0034036D">
            <w:pPr>
              <w:jc w:val="center"/>
              <w:rPr>
                <w:b/>
                <w:sz w:val="20"/>
                <w:szCs w:val="20"/>
              </w:rPr>
            </w:pPr>
            <w:r w:rsidRPr="0034036D">
              <w:rPr>
                <w:b/>
                <w:sz w:val="20"/>
                <w:szCs w:val="20"/>
              </w:rPr>
              <w:t>Montant du bonus au 4 janvier 2016</w:t>
            </w:r>
          </w:p>
        </w:tc>
      </w:tr>
      <w:tr w:rsidR="00072F67" w:rsidRPr="007D05BE" w:rsidTr="0034036D">
        <w:trPr>
          <w:trHeight w:hRule="exact" w:val="284"/>
          <w:tblCellSpacing w:w="7" w:type="dxa"/>
        </w:trPr>
        <w:tc>
          <w:tcPr>
            <w:tcW w:w="4527" w:type="dxa"/>
            <w:tcMar>
              <w:top w:w="0" w:type="dxa"/>
              <w:left w:w="0" w:type="dxa"/>
              <w:bottom w:w="0" w:type="dxa"/>
              <w:right w:w="0" w:type="dxa"/>
            </w:tcMar>
            <w:vAlign w:val="center"/>
            <w:hideMark/>
          </w:tcPr>
          <w:p w:rsidR="00072F67" w:rsidRPr="007D05BE" w:rsidRDefault="00072F67" w:rsidP="007D05BE">
            <w:pPr>
              <w:jc w:val="center"/>
              <w:rPr>
                <w:sz w:val="20"/>
                <w:szCs w:val="20"/>
              </w:rPr>
            </w:pPr>
            <w:r w:rsidRPr="007D05BE">
              <w:rPr>
                <w:sz w:val="20"/>
                <w:szCs w:val="20"/>
              </w:rPr>
              <w:t>0 à 20 g</w:t>
            </w:r>
          </w:p>
        </w:tc>
        <w:tc>
          <w:tcPr>
            <w:tcW w:w="4527" w:type="dxa"/>
            <w:tcMar>
              <w:top w:w="0" w:type="dxa"/>
              <w:left w:w="0" w:type="dxa"/>
              <w:bottom w:w="0" w:type="dxa"/>
              <w:right w:w="0" w:type="dxa"/>
            </w:tcMar>
            <w:vAlign w:val="center"/>
            <w:hideMark/>
          </w:tcPr>
          <w:p w:rsidR="00072F67" w:rsidRPr="007D05BE" w:rsidRDefault="00072F67" w:rsidP="007D05BE">
            <w:pPr>
              <w:jc w:val="center"/>
              <w:rPr>
                <w:sz w:val="20"/>
                <w:szCs w:val="20"/>
              </w:rPr>
            </w:pPr>
            <w:r w:rsidRPr="007D05BE">
              <w:rPr>
                <w:sz w:val="20"/>
                <w:szCs w:val="20"/>
              </w:rPr>
              <w:t xml:space="preserve">6 300 </w:t>
            </w:r>
            <w:r w:rsidR="007D05BE">
              <w:rPr>
                <w:sz w:val="20"/>
                <w:szCs w:val="20"/>
              </w:rPr>
              <w:t>€</w:t>
            </w:r>
          </w:p>
        </w:tc>
      </w:tr>
      <w:tr w:rsidR="00072F67" w:rsidRPr="007D05BE" w:rsidTr="0034036D">
        <w:trPr>
          <w:trHeight w:hRule="exact" w:val="284"/>
          <w:tblCellSpacing w:w="7" w:type="dxa"/>
        </w:trPr>
        <w:tc>
          <w:tcPr>
            <w:tcW w:w="4527" w:type="dxa"/>
            <w:tcMar>
              <w:top w:w="0" w:type="dxa"/>
              <w:left w:w="0" w:type="dxa"/>
              <w:bottom w:w="0" w:type="dxa"/>
              <w:right w:w="0" w:type="dxa"/>
            </w:tcMar>
            <w:vAlign w:val="center"/>
            <w:hideMark/>
          </w:tcPr>
          <w:p w:rsidR="00072F67" w:rsidRPr="007D05BE" w:rsidRDefault="00072F67" w:rsidP="007D05BE">
            <w:pPr>
              <w:jc w:val="center"/>
              <w:rPr>
                <w:sz w:val="20"/>
                <w:szCs w:val="20"/>
              </w:rPr>
            </w:pPr>
            <w:r w:rsidRPr="007D05BE">
              <w:rPr>
                <w:sz w:val="20"/>
                <w:szCs w:val="20"/>
              </w:rPr>
              <w:t>21 à 60 g</w:t>
            </w:r>
          </w:p>
        </w:tc>
        <w:tc>
          <w:tcPr>
            <w:tcW w:w="4527" w:type="dxa"/>
            <w:tcMar>
              <w:top w:w="0" w:type="dxa"/>
              <w:left w:w="0" w:type="dxa"/>
              <w:bottom w:w="0" w:type="dxa"/>
              <w:right w:w="0" w:type="dxa"/>
            </w:tcMar>
            <w:vAlign w:val="center"/>
            <w:hideMark/>
          </w:tcPr>
          <w:p w:rsidR="00072F67" w:rsidRPr="007D05BE" w:rsidRDefault="00072F67" w:rsidP="007D05BE">
            <w:pPr>
              <w:jc w:val="center"/>
              <w:rPr>
                <w:sz w:val="20"/>
                <w:szCs w:val="20"/>
              </w:rPr>
            </w:pPr>
            <w:r w:rsidRPr="007D05BE">
              <w:rPr>
                <w:sz w:val="20"/>
                <w:szCs w:val="20"/>
              </w:rPr>
              <w:t>1</w:t>
            </w:r>
            <w:r w:rsidR="007D05BE">
              <w:rPr>
                <w:sz w:val="20"/>
                <w:szCs w:val="20"/>
              </w:rPr>
              <w:t xml:space="preserve"> </w:t>
            </w:r>
            <w:r w:rsidRPr="007D05BE">
              <w:rPr>
                <w:sz w:val="20"/>
                <w:szCs w:val="20"/>
              </w:rPr>
              <w:t>000</w:t>
            </w:r>
            <w:r w:rsidR="007D05BE">
              <w:rPr>
                <w:sz w:val="20"/>
                <w:szCs w:val="20"/>
              </w:rPr>
              <w:t xml:space="preserve"> €</w:t>
            </w:r>
          </w:p>
        </w:tc>
      </w:tr>
      <w:tr w:rsidR="007D05BE" w:rsidRPr="0034036D" w:rsidTr="0034036D">
        <w:trPr>
          <w:trHeight w:hRule="exact" w:val="284"/>
          <w:tblCellSpacing w:w="7" w:type="dxa"/>
        </w:trPr>
        <w:tc>
          <w:tcPr>
            <w:tcW w:w="4527" w:type="dxa"/>
            <w:tcMar>
              <w:top w:w="0" w:type="dxa"/>
              <w:left w:w="0" w:type="dxa"/>
              <w:bottom w:w="0" w:type="dxa"/>
              <w:right w:w="0" w:type="dxa"/>
            </w:tcMar>
            <w:vAlign w:val="center"/>
            <w:hideMark/>
          </w:tcPr>
          <w:p w:rsidR="007D05BE" w:rsidRPr="0034036D" w:rsidRDefault="007D05BE" w:rsidP="007D05BE">
            <w:pPr>
              <w:jc w:val="center"/>
              <w:rPr>
                <w:b/>
                <w:sz w:val="20"/>
                <w:szCs w:val="20"/>
              </w:rPr>
            </w:pPr>
            <w:r w:rsidRPr="0034036D">
              <w:rPr>
                <w:b/>
                <w:sz w:val="20"/>
                <w:szCs w:val="20"/>
              </w:rPr>
              <w:t>Taux de CO2/km</w:t>
            </w:r>
          </w:p>
        </w:tc>
        <w:tc>
          <w:tcPr>
            <w:tcW w:w="4527" w:type="dxa"/>
            <w:tcMar>
              <w:top w:w="0" w:type="dxa"/>
              <w:left w:w="0" w:type="dxa"/>
              <w:bottom w:w="0" w:type="dxa"/>
              <w:right w:w="0" w:type="dxa"/>
            </w:tcMar>
            <w:vAlign w:val="center"/>
            <w:hideMark/>
          </w:tcPr>
          <w:p w:rsidR="007D05BE" w:rsidRPr="0034036D" w:rsidRDefault="007D05BE" w:rsidP="007D05BE">
            <w:pPr>
              <w:jc w:val="center"/>
              <w:rPr>
                <w:b/>
                <w:sz w:val="20"/>
                <w:szCs w:val="20"/>
              </w:rPr>
            </w:pPr>
            <w:r w:rsidRPr="0034036D">
              <w:rPr>
                <w:b/>
                <w:sz w:val="20"/>
                <w:szCs w:val="20"/>
              </w:rPr>
              <w:t>Montant du malus</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Entre 131 et 135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150 €</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entre 136 et 140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250 €</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entre 141 et 145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500 €</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entre 146 et 150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900 €</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entre 151 et 155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1 600 €</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entre 156 et 175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2 200 €</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entre 176 et 180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3 000 €</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entre 181 et 185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3 600 €</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entre 186 et 190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4 000 €</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entre 191 et 200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6 500 €</w:t>
            </w:r>
          </w:p>
        </w:tc>
      </w:tr>
      <w:tr w:rsidR="007D05BE" w:rsidRPr="007D05BE" w:rsidTr="0034036D">
        <w:trPr>
          <w:trHeight w:hRule="exact" w:val="284"/>
          <w:tblCellSpacing w:w="7" w:type="dxa"/>
        </w:trPr>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à partir de 201 g CO2/km</w:t>
            </w:r>
          </w:p>
        </w:tc>
        <w:tc>
          <w:tcPr>
            <w:tcW w:w="4527" w:type="dxa"/>
            <w:tcMar>
              <w:top w:w="0" w:type="dxa"/>
              <w:left w:w="0" w:type="dxa"/>
              <w:bottom w:w="0" w:type="dxa"/>
              <w:right w:w="0" w:type="dxa"/>
            </w:tcMar>
            <w:vAlign w:val="center"/>
            <w:hideMark/>
          </w:tcPr>
          <w:p w:rsidR="007D05BE" w:rsidRPr="007D05BE" w:rsidRDefault="007D05BE" w:rsidP="007D05BE">
            <w:pPr>
              <w:jc w:val="center"/>
              <w:rPr>
                <w:sz w:val="20"/>
                <w:szCs w:val="20"/>
              </w:rPr>
            </w:pPr>
            <w:r w:rsidRPr="007D05BE">
              <w:rPr>
                <w:sz w:val="20"/>
                <w:szCs w:val="20"/>
              </w:rPr>
              <w:t>8 000 €</w:t>
            </w:r>
          </w:p>
        </w:tc>
      </w:tr>
    </w:tbl>
    <w:p w:rsidR="00072F67" w:rsidRDefault="008B561D" w:rsidP="0034036D">
      <w:pPr>
        <w:jc w:val="right"/>
      </w:pPr>
      <w:hyperlink r:id="rId8" w:history="1">
        <w:r w:rsidR="00EF5913" w:rsidRPr="00EF5913">
          <w:rPr>
            <w:rStyle w:val="Lienhypertexte"/>
          </w:rPr>
          <w:t>developpement-durable.gouv.fr</w:t>
        </w:r>
      </w:hyperlink>
    </w:p>
    <w:p w:rsidR="0034036D" w:rsidRDefault="0034036D" w:rsidP="00C61573"/>
    <w:p w:rsidR="0034036D" w:rsidRDefault="0034036D" w:rsidP="0034036D">
      <w:pPr>
        <w:jc w:val="center"/>
      </w:pPr>
      <w:r w:rsidRPr="0034036D">
        <w:rPr>
          <w:noProof/>
        </w:rPr>
        <w:drawing>
          <wp:inline distT="0" distB="0" distL="0" distR="0">
            <wp:extent cx="4242850" cy="2902226"/>
            <wp:effectExtent l="19050" t="0" r="2435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036D" w:rsidRDefault="008B561D" w:rsidP="0034036D">
      <w:pPr>
        <w:jc w:val="right"/>
      </w:pPr>
      <w:hyperlink r:id="rId10" w:history="1">
        <w:r w:rsidR="0034036D" w:rsidRPr="0034036D">
          <w:rPr>
            <w:rStyle w:val="Lienhypertexte"/>
          </w:rPr>
          <w:t>ADEME</w:t>
        </w:r>
      </w:hyperlink>
    </w:p>
    <w:p w:rsidR="0034036D" w:rsidRDefault="0034036D" w:rsidP="00C61573"/>
    <w:p w:rsidR="00AC5C7D" w:rsidRDefault="0034036D" w:rsidP="00AC5C7D">
      <w:pPr>
        <w:pStyle w:val="Paragraphedeliste"/>
        <w:numPr>
          <w:ilvl w:val="0"/>
          <w:numId w:val="8"/>
        </w:numPr>
      </w:pPr>
      <w:r>
        <w:t>Le bonus-malus écologique est-il un système de taxation ou de subvention</w:t>
      </w:r>
      <w:r w:rsidR="003768BD">
        <w:t> ?</w:t>
      </w:r>
    </w:p>
    <w:p w:rsidR="003768BD" w:rsidRDefault="005D0D93" w:rsidP="00AC5C7D">
      <w:pPr>
        <w:pStyle w:val="Paragraphedeliste"/>
        <w:numPr>
          <w:ilvl w:val="0"/>
          <w:numId w:val="8"/>
        </w:numPr>
      </w:pPr>
      <w:r>
        <w:t>Concerne-t-il des producteurs ou des consommateurs</w:t>
      </w:r>
      <w:r w:rsidR="003768BD">
        <w:t> ?</w:t>
      </w:r>
    </w:p>
    <w:p w:rsidR="003768BD" w:rsidRDefault="005D0D93" w:rsidP="00AC5C7D">
      <w:pPr>
        <w:pStyle w:val="Paragraphedeliste"/>
        <w:numPr>
          <w:ilvl w:val="0"/>
          <w:numId w:val="8"/>
        </w:numPr>
      </w:pPr>
      <w:r>
        <w:t>La mise en place de ce dispositif a-t-elle été efficace pour réduire la pollution automobile</w:t>
      </w:r>
      <w:r w:rsidR="003768BD">
        <w:t> ?</w:t>
      </w:r>
    </w:p>
    <w:p w:rsidR="00AC5C7D" w:rsidRDefault="00AC5C7D" w:rsidP="00C61573"/>
    <w:p w:rsidR="0037205D" w:rsidRDefault="0037205D">
      <w:pPr>
        <w:widowControl/>
        <w:autoSpaceDE/>
        <w:autoSpaceDN/>
        <w:adjustRightInd/>
        <w:spacing w:after="200" w:line="276" w:lineRule="auto"/>
        <w:jc w:val="left"/>
        <w:rPr>
          <w:b/>
        </w:rPr>
      </w:pPr>
      <w:r>
        <w:rPr>
          <w:b/>
        </w:rPr>
        <w:br w:type="page"/>
      </w:r>
    </w:p>
    <w:p w:rsidR="0037205D" w:rsidRPr="003648B1" w:rsidRDefault="0037205D" w:rsidP="0037205D">
      <w:pPr>
        <w:rPr>
          <w:b/>
        </w:rPr>
      </w:pPr>
      <w:r w:rsidRPr="003648B1">
        <w:rPr>
          <w:b/>
        </w:rPr>
        <w:lastRenderedPageBreak/>
        <w:t xml:space="preserve">Document </w:t>
      </w:r>
      <w:r>
        <w:rPr>
          <w:b/>
        </w:rPr>
        <w:t>3</w:t>
      </w:r>
    </w:p>
    <w:p w:rsidR="0037205D" w:rsidRDefault="0037205D" w:rsidP="00C61573"/>
    <w:p w:rsidR="00CD2A9F" w:rsidRPr="008F179C" w:rsidRDefault="001F75B1" w:rsidP="008F179C">
      <w:pPr>
        <w:widowControl/>
        <w:autoSpaceDE/>
        <w:autoSpaceDN/>
        <w:adjustRightInd/>
        <w:jc w:val="center"/>
        <w:rPr>
          <w:rFonts w:cs="Times New Roman"/>
          <w:b/>
          <w:szCs w:val="24"/>
        </w:rPr>
      </w:pPr>
      <w:r w:rsidRPr="001F75B1">
        <w:rPr>
          <w:rFonts w:cs="Times New Roman"/>
          <w:b/>
          <w:szCs w:val="24"/>
        </w:rPr>
        <w:t>Le crédit d’impôt pour la transition énergétique (CITE)</w:t>
      </w:r>
    </w:p>
    <w:p w:rsidR="008F179C" w:rsidRPr="001F75B1" w:rsidRDefault="008F179C" w:rsidP="001F75B1">
      <w:pPr>
        <w:widowControl/>
        <w:autoSpaceDE/>
        <w:autoSpaceDN/>
        <w:adjustRightInd/>
        <w:jc w:val="left"/>
        <w:rPr>
          <w:rFonts w:cs="Times New Roman"/>
          <w:szCs w:val="24"/>
        </w:rPr>
      </w:pPr>
    </w:p>
    <w:p w:rsidR="00CD2A9F" w:rsidRPr="00CD2A9F" w:rsidRDefault="00CD2A9F" w:rsidP="00CD2A9F">
      <w:r w:rsidRPr="00CD2A9F">
        <w:t xml:space="preserve">L’objectif de ce dispositif est d’inciter les particuliers à effectuer des travaux d’amélioration énergétique de leurs logements tout en soutenant les technologies émergentes les plus efficaces en termes de développement durable et en faisant évoluer les différents marchés vers des standards de performance plus élevés. Cette mesure a pour vocation une diffusion large des équipements énergétiques durables afin de contribuer à l’atteinte des objectifs ambitieux de la France en matière d’économies d’énergie et d’énergies renouvelables. Elle s’inscrit dans la stratégie mise en place pour réduire d’un facteur 4 nos émissions de gaz à effet de serre d’ici 2050 et dans le cadre des objectifs de la loi du 3 août 2009 et de la loi relative à la transition énergétique pour la croissance verte (réduction de – 38 % des consommations d’énergie du parc de bâtiment d’ici 2020, développement des énergies renouvelables à hauteur de 23 % de la consommation finale d’énergie d’ici 2020). </w:t>
      </w:r>
      <w:r>
        <w:t>[…]</w:t>
      </w:r>
    </w:p>
    <w:p w:rsidR="00CD2A9F" w:rsidRPr="00CD2A9F" w:rsidRDefault="00CD2A9F" w:rsidP="00CD2A9F">
      <w:r w:rsidRPr="00CD2A9F">
        <w:t>Le crédit d’impôt concerne les dépenses d’acquisition de certains équipements fournis par les entreprises ayant réalisé les travaux et faisant l’objet d’une facture.</w:t>
      </w:r>
    </w:p>
    <w:p w:rsidR="00CD2A9F" w:rsidRPr="00CD2A9F" w:rsidRDefault="00CD2A9F" w:rsidP="00CD2A9F">
      <w:r w:rsidRPr="00CD2A9F">
        <w:t>Ces équipements et matériaux doivent, pour être éligibles au dispositif du crédit d’impôt, satisfaire à des critères de performance.</w:t>
      </w:r>
    </w:p>
    <w:p w:rsidR="00CD2A9F" w:rsidRPr="00CD2A9F" w:rsidRDefault="00CD2A9F" w:rsidP="00CD2A9F">
      <w:r w:rsidRPr="00CD2A9F">
        <w:t>Le dispositif a été simplifié et ne comporte plus qu’un seul taux porté à 30% quelle que soit l’action réalisée et cela dès la première dépense réalisée. </w:t>
      </w:r>
    </w:p>
    <w:p w:rsidR="00CD2A9F" w:rsidRPr="00CD2A9F" w:rsidRDefault="00CD2A9F" w:rsidP="00CD2A9F">
      <w:r w:rsidRPr="00CD2A9F">
        <w:t>Les contribuables domiciliés en France peuvent bénéficier d’un crédit d’impôt sur le revenu au titre des dépenses effectivement supportées pour l’amélioration de la qualité environnementale du logement qu’ils affectent à leur habitation principale dont ils sont propriétaires, locataires ou occupants à titre gratuit.</w:t>
      </w:r>
    </w:p>
    <w:p w:rsidR="00CD2A9F" w:rsidRPr="00CD2A9F" w:rsidRDefault="00CD2A9F" w:rsidP="00CD2A9F">
      <w:r w:rsidRPr="00CD2A9F">
        <w:t>Seules les habitations principales achevées depuis plus de deux ans sont éligibles.</w:t>
      </w:r>
    </w:p>
    <w:p w:rsidR="00CD2A9F" w:rsidRPr="00CD2A9F" w:rsidRDefault="00CD2A9F" w:rsidP="00CD2A9F">
      <w:r w:rsidRPr="00CD2A9F">
        <w:t>Le crédit d’impôt porte sur le prix des équipements et des matériaux, hors main-d’œuvre, sauf pour le cas particulier de la pose des matériaux d’isolation des parois opaques et la pose de l’échangeur de chaleur souterrain des pompes à chaleur géothermique.</w:t>
      </w:r>
    </w:p>
    <w:p w:rsidR="00CD2A9F" w:rsidRPr="00CD2A9F" w:rsidRDefault="00CD2A9F" w:rsidP="00CD2A9F">
      <w:r w:rsidRPr="00CD2A9F">
        <w:t xml:space="preserve">Pour un même contribuable et une même habitation, le montant des dépenses ouvrant droit au crédit d’impôt ne peut excéder 8 000 € pour une personne seule. Ce montant peut être majoré en fonction de la situation familiale puisqu’il est porté à 16 000 € pour un couple sans enfant soumis à imposition commune. Cette somme est majorée de 400 € par personne à charge. </w:t>
      </w:r>
    </w:p>
    <w:p w:rsidR="001F75B1" w:rsidRDefault="001F75B1" w:rsidP="00C61573"/>
    <w:p w:rsidR="00CD2A9F" w:rsidRDefault="008B561D" w:rsidP="008F179C">
      <w:pPr>
        <w:jc w:val="right"/>
      </w:pPr>
      <w:hyperlink r:id="rId11" w:history="1">
        <w:r w:rsidR="008F179C" w:rsidRPr="008F179C">
          <w:rPr>
            <w:rStyle w:val="Lienhypertexte"/>
          </w:rPr>
          <w:t>developpement-durable.gouv.fr</w:t>
        </w:r>
      </w:hyperlink>
    </w:p>
    <w:p w:rsidR="008F179C" w:rsidRDefault="008F179C" w:rsidP="00C61573"/>
    <w:p w:rsidR="00CD2A9F" w:rsidRPr="002A45E6" w:rsidRDefault="008F179C" w:rsidP="00C61573">
      <w:pPr>
        <w:rPr>
          <w:i/>
        </w:rPr>
      </w:pPr>
      <w:r w:rsidRPr="002A45E6">
        <w:rPr>
          <w:i/>
        </w:rPr>
        <w:t>Note : pour ceux dont l’impôt à payer est inférieur au montant du crédit d’impôt, la différence leur sera remboursée. [NDLR]</w:t>
      </w:r>
    </w:p>
    <w:p w:rsidR="0037205D" w:rsidRDefault="0037205D" w:rsidP="005461F7"/>
    <w:p w:rsidR="0037205D" w:rsidRDefault="0037205D" w:rsidP="00C61573"/>
    <w:p w:rsidR="005461F7" w:rsidRDefault="002A45E6" w:rsidP="005461F7">
      <w:pPr>
        <w:pStyle w:val="Paragraphedeliste"/>
        <w:numPr>
          <w:ilvl w:val="0"/>
          <w:numId w:val="11"/>
        </w:numPr>
      </w:pPr>
      <w:r>
        <w:t>De quel type d’intervention de l’</w:t>
      </w:r>
      <w:r>
        <w:rPr>
          <w:rFonts w:cs="Times New Roman"/>
        </w:rPr>
        <w:t>É</w:t>
      </w:r>
      <w:r>
        <w:t>tat relève le CITE : taxation, subvention, norme</w:t>
      </w:r>
      <w:r w:rsidR="00ED0CEA">
        <w:t> ?</w:t>
      </w:r>
    </w:p>
    <w:p w:rsidR="002A45E6" w:rsidRDefault="002A45E6" w:rsidP="005461F7">
      <w:pPr>
        <w:pStyle w:val="Paragraphedeliste"/>
        <w:numPr>
          <w:ilvl w:val="0"/>
          <w:numId w:val="11"/>
        </w:numPr>
      </w:pPr>
      <w:r>
        <w:t>Le CITE concerne-t-il des producteurs ou des consommateurs</w:t>
      </w:r>
    </w:p>
    <w:p w:rsidR="00ED0CEA" w:rsidRDefault="002A45E6" w:rsidP="005461F7">
      <w:pPr>
        <w:pStyle w:val="Paragraphedeliste"/>
        <w:numPr>
          <w:ilvl w:val="0"/>
          <w:numId w:val="11"/>
        </w:numPr>
      </w:pPr>
      <w:r>
        <w:t>Quel est le montant maximal du CITE que peut obtenir une personne seule</w:t>
      </w:r>
      <w:r w:rsidR="00ED0CEA">
        <w:t> ?</w:t>
      </w:r>
    </w:p>
    <w:p w:rsidR="00ED0CEA" w:rsidRDefault="002A45E6" w:rsidP="005461F7">
      <w:pPr>
        <w:pStyle w:val="Paragraphedeliste"/>
        <w:numPr>
          <w:ilvl w:val="0"/>
          <w:numId w:val="11"/>
        </w:numPr>
      </w:pPr>
      <w:r>
        <w:t>Quels peuvent être les effets de ce CITE</w:t>
      </w:r>
      <w:r w:rsidR="00ED0CEA">
        <w:t> ?</w:t>
      </w:r>
    </w:p>
    <w:p w:rsidR="005461F7" w:rsidRDefault="005461F7" w:rsidP="00C61573"/>
    <w:p w:rsidR="00BF3BC2" w:rsidRDefault="00BF3BC2">
      <w:pPr>
        <w:widowControl/>
        <w:autoSpaceDE/>
        <w:autoSpaceDN/>
        <w:adjustRightInd/>
        <w:spacing w:after="200" w:line="276" w:lineRule="auto"/>
        <w:jc w:val="left"/>
        <w:rPr>
          <w:b/>
        </w:rPr>
      </w:pPr>
      <w:r>
        <w:rPr>
          <w:b/>
        </w:rPr>
        <w:br w:type="page"/>
      </w:r>
    </w:p>
    <w:p w:rsidR="00BF3BC2" w:rsidRDefault="00BF3BC2" w:rsidP="00C61573">
      <w:pPr>
        <w:rPr>
          <w:b/>
        </w:rPr>
      </w:pPr>
      <w:r w:rsidRPr="00BF3BC2">
        <w:rPr>
          <w:b/>
        </w:rPr>
        <w:lastRenderedPageBreak/>
        <w:t>Document 4</w:t>
      </w:r>
    </w:p>
    <w:p w:rsidR="00BF3BC2" w:rsidRDefault="00BF3BC2" w:rsidP="00C61573"/>
    <w:p w:rsidR="00C318AE" w:rsidRPr="00C318AE" w:rsidRDefault="00C318AE" w:rsidP="00C318AE">
      <w:pPr>
        <w:rPr>
          <w:sz w:val="22"/>
        </w:rPr>
      </w:pPr>
      <w:r w:rsidRPr="00C318AE">
        <w:rPr>
          <w:sz w:val="22"/>
        </w:rPr>
        <w:t>Mises en place en 1991, les normes européennes Euro réglementent les émissions des polluants atmosphériques des moteurs à essence, diesel ou GPL. […] Elles ont pour objectif de réduire la pollution engendrée par le transport routier et d’améliorer la qualité de l’air des zones de forte circulation.</w:t>
      </w:r>
    </w:p>
    <w:p w:rsidR="00C318AE" w:rsidRPr="00C318AE" w:rsidRDefault="00C318AE" w:rsidP="00C318AE">
      <w:pPr>
        <w:rPr>
          <w:sz w:val="22"/>
        </w:rPr>
      </w:pPr>
      <w:r w:rsidRPr="00C318AE">
        <w:rPr>
          <w:sz w:val="22"/>
        </w:rPr>
        <w:t xml:space="preserve">Ces normes évoluent régulièrement et sont à chaque fois plus restrictives. « Tous les cinq ans, les valeurs limites des principaux polluants sont divisées par deux », souligne François </w:t>
      </w:r>
      <w:proofErr w:type="spellStart"/>
      <w:r w:rsidRPr="00C318AE">
        <w:rPr>
          <w:sz w:val="22"/>
        </w:rPr>
        <w:t>Cuenot</w:t>
      </w:r>
      <w:proofErr w:type="spellEnd"/>
      <w:r w:rsidRPr="00C318AE">
        <w:rPr>
          <w:sz w:val="22"/>
        </w:rPr>
        <w:t>, expert de l’ONG environnementale européenne Transport et Environnement (T &amp; E). Les normes Euro prennent en compte quatre polluants, mesurés dans les émissions de sortie du pot d’échappement : les oxydes d’azote (</w:t>
      </w:r>
      <w:proofErr w:type="spellStart"/>
      <w:r w:rsidRPr="00C318AE">
        <w:rPr>
          <w:sz w:val="22"/>
        </w:rPr>
        <w:t>NOx</w:t>
      </w:r>
      <w:proofErr w:type="spellEnd"/>
      <w:r w:rsidRPr="00C318AE">
        <w:rPr>
          <w:sz w:val="22"/>
        </w:rPr>
        <w:t>), le monoxyde de carbone (CO), les hydrocarbures (part des imbrûlés du carburant, HC) et les particules fines, mesurées en fonction de leur masse (PM) et de leur nombre (PN). Le dioxyde de carbone (CO2) est également pris en compte</w:t>
      </w:r>
      <w:proofErr w:type="gramStart"/>
      <w:r w:rsidRPr="00C318AE">
        <w:rPr>
          <w:sz w:val="22"/>
        </w:rPr>
        <w:t>.[</w:t>
      </w:r>
      <w:proofErr w:type="gramEnd"/>
      <w:r w:rsidRPr="00C318AE">
        <w:rPr>
          <w:sz w:val="22"/>
        </w:rPr>
        <w:t>…]</w:t>
      </w:r>
    </w:p>
    <w:p w:rsidR="00C318AE" w:rsidRPr="00C318AE" w:rsidRDefault="00C318AE" w:rsidP="00C318AE">
      <w:pPr>
        <w:widowControl/>
        <w:autoSpaceDE/>
        <w:autoSpaceDN/>
        <w:adjustRightInd/>
        <w:rPr>
          <w:sz w:val="22"/>
        </w:rPr>
      </w:pPr>
      <w:r w:rsidRPr="00C318AE">
        <w:rPr>
          <w:sz w:val="22"/>
        </w:rPr>
        <w:t>Si ces nouvelles normes réduisent, pour certaines drastiquement, les émissions des véhicules diesel, elles le font seulement pour les voitures nouvellement immatriculées. Les autres continuent ainsi de circuler et de polluer autant que par le passé. En France par exemple, les véhicules diesel les plus polluants, ceux d’avant 2000, non équipés de filtre à particules, étaient au nombre de 1,6 million, selon l’Agence de l’environnement et de la maîtrise de l’énergie (</w:t>
      </w:r>
      <w:proofErr w:type="spellStart"/>
      <w:r w:rsidRPr="00C318AE">
        <w:rPr>
          <w:sz w:val="22"/>
        </w:rPr>
        <w:t>Ademe</w:t>
      </w:r>
      <w:proofErr w:type="spellEnd"/>
      <w:r w:rsidRPr="00C318AE">
        <w:rPr>
          <w:sz w:val="22"/>
        </w:rPr>
        <w:t>).</w:t>
      </w:r>
    </w:p>
    <w:p w:rsidR="00C318AE" w:rsidRPr="00C318AE" w:rsidRDefault="00C318AE" w:rsidP="00C318AE">
      <w:pPr>
        <w:rPr>
          <w:sz w:val="22"/>
        </w:rPr>
      </w:pPr>
      <w:r w:rsidRPr="00C318AE">
        <w:rPr>
          <w:sz w:val="22"/>
        </w:rPr>
        <w:t xml:space="preserve">Par ailleurs, les véhicules diesel neufs sont loin de tous respecter les valeurs limites édictées par les normes. Selon une étude de l’ONG T &amp; E publiée le 10 septembre, 9 voitures diesel neuves sur 10 en Europe ne sont pas conformes, en conditions normales de circulation, aux normes de pollution. </w:t>
      </w:r>
      <w:r w:rsidRPr="00C318AE">
        <w:rPr>
          <w:rStyle w:val="Accentuation"/>
          <w:sz w:val="22"/>
        </w:rPr>
        <w:t>« En conduite réelle, les véhicules diesel émettent en moyenne cinq fois plus de dioxyde d’azote que la norme. Certains véhicules même vingt fois plus »</w:t>
      </w:r>
      <w:r w:rsidRPr="00C318AE">
        <w:rPr>
          <w:sz w:val="22"/>
        </w:rPr>
        <w:t xml:space="preserve">, relève François </w:t>
      </w:r>
      <w:proofErr w:type="spellStart"/>
      <w:r w:rsidRPr="00C318AE">
        <w:rPr>
          <w:sz w:val="22"/>
        </w:rPr>
        <w:t>Cuenot</w:t>
      </w:r>
      <w:proofErr w:type="spellEnd"/>
      <w:proofErr w:type="gramStart"/>
      <w:r w:rsidRPr="00C318AE">
        <w:rPr>
          <w:sz w:val="22"/>
        </w:rPr>
        <w:t>.[</w:t>
      </w:r>
      <w:proofErr w:type="gramEnd"/>
      <w:r w:rsidRPr="00C318AE">
        <w:rPr>
          <w:sz w:val="22"/>
        </w:rPr>
        <w:t>…]</w:t>
      </w:r>
    </w:p>
    <w:p w:rsidR="00C318AE" w:rsidRPr="00C318AE" w:rsidRDefault="00C318AE" w:rsidP="00C318AE">
      <w:pPr>
        <w:rPr>
          <w:sz w:val="22"/>
        </w:rPr>
      </w:pPr>
      <w:r w:rsidRPr="00C318AE">
        <w:rPr>
          <w:sz w:val="22"/>
        </w:rPr>
        <w:t>Concernant le test d’homologation des véhicules, chaque véhicule subit un « cycle de roulage » de 11 kilomètres sur banc à rouleau (le véhicule roule en laboratoire), qui est censé reproduire les conditions rencontrées sur les routes européennes. Imaginé en 1973, ce cycle d’essai suit un scénario avec des accélérations, des décélérations et des paliers à vitesse constante sur une durée de 20 minutes. Le tout se fait à température constante. Les polluants sont récupérés à la sortie du pot d’échappement, puis pesés. C’est ainsi que l’on peut attester qu’un véhicule émet tant de gramme par kilomètre parcouru.</w:t>
      </w:r>
    </w:p>
    <w:p w:rsidR="00C318AE" w:rsidRPr="00C318AE" w:rsidRDefault="00C318AE" w:rsidP="00C318AE">
      <w:pPr>
        <w:rPr>
          <w:sz w:val="22"/>
        </w:rPr>
      </w:pPr>
      <w:r w:rsidRPr="00C318AE">
        <w:rPr>
          <w:sz w:val="22"/>
        </w:rPr>
        <w:t xml:space="preserve">Les constructeurs se sont fait une spécialité d’optimiser ces tests en recourant à plusieurs stratagèmes afin de limiter au maximum la sollicitation du moteur : </w:t>
      </w:r>
      <w:proofErr w:type="spellStart"/>
      <w:r w:rsidRPr="00C318AE">
        <w:rPr>
          <w:sz w:val="22"/>
        </w:rPr>
        <w:t>surgonflage</w:t>
      </w:r>
      <w:proofErr w:type="spellEnd"/>
      <w:r w:rsidRPr="00C318AE">
        <w:rPr>
          <w:sz w:val="22"/>
        </w:rPr>
        <w:t xml:space="preserve"> des pneus, amélioration des lubrifiants, utilisation de pneus plus résistants au roulage, optimisation des contrôles moteur… […]. Selon un expert, « avec les tests actuels, les constructeurs sont sûrs d’être homologués car le moteur du véhicule est très peu sollicité. C’est un peu comme comparer un handicapé debout à </w:t>
      </w:r>
      <w:proofErr w:type="spellStart"/>
      <w:r w:rsidRPr="00C318AE">
        <w:rPr>
          <w:sz w:val="22"/>
        </w:rPr>
        <w:t>Usain</w:t>
      </w:r>
      <w:proofErr w:type="spellEnd"/>
      <w:r w:rsidRPr="00C318AE">
        <w:rPr>
          <w:sz w:val="22"/>
        </w:rPr>
        <w:t xml:space="preserve"> </w:t>
      </w:r>
      <w:proofErr w:type="spellStart"/>
      <w:r w:rsidRPr="00C318AE">
        <w:rPr>
          <w:sz w:val="22"/>
        </w:rPr>
        <w:t>Bolt</w:t>
      </w:r>
      <w:proofErr w:type="spellEnd"/>
      <w:r w:rsidRPr="00C318AE">
        <w:rPr>
          <w:sz w:val="22"/>
        </w:rPr>
        <w:t>. Les deux marchent, oui, mais pas franchement de la même manière… »[…]</w:t>
      </w:r>
    </w:p>
    <w:p w:rsidR="00C318AE" w:rsidRPr="00C318AE" w:rsidRDefault="00C318AE" w:rsidP="00C318AE">
      <w:pPr>
        <w:rPr>
          <w:sz w:val="22"/>
        </w:rPr>
      </w:pPr>
      <w:r w:rsidRPr="00C318AE">
        <w:rPr>
          <w:sz w:val="22"/>
        </w:rPr>
        <w:t xml:space="preserve">Une fois homologués, les véhicules sont-ils contrôlés ? </w:t>
      </w:r>
    </w:p>
    <w:p w:rsidR="00C318AE" w:rsidRPr="00C318AE" w:rsidRDefault="00C318AE" w:rsidP="00C318AE">
      <w:pPr>
        <w:rPr>
          <w:sz w:val="22"/>
        </w:rPr>
      </w:pPr>
      <w:r w:rsidRPr="00C318AE">
        <w:rPr>
          <w:sz w:val="22"/>
        </w:rPr>
        <w:t xml:space="preserve">Théoriquement oui. Dans les faits, non. Le contrôle technique est obligatoire pour l’ensemble des véhicules à partir de quatre ans d’âge. Problème, sur les 128 points de vérification, un seul point est relatif aux émissions polluantes. Pour les véhicules essence, les émissions de quatre gaz sont analysées, mais pas les oxydes d’azotes malgré la multiplication des </w:t>
      </w:r>
      <w:proofErr w:type="gramStart"/>
      <w:r w:rsidRPr="00C318AE">
        <w:rPr>
          <w:sz w:val="22"/>
        </w:rPr>
        <w:t>moteurs essence</w:t>
      </w:r>
      <w:proofErr w:type="gramEnd"/>
      <w:r w:rsidRPr="00C318AE">
        <w:rPr>
          <w:sz w:val="22"/>
        </w:rPr>
        <w:t xml:space="preserve"> turbo qui génèrent ces polluants.</w:t>
      </w:r>
    </w:p>
    <w:p w:rsidR="00C318AE" w:rsidRDefault="00C318AE" w:rsidP="00C318AE">
      <w:pPr>
        <w:widowControl/>
        <w:autoSpaceDE/>
        <w:autoSpaceDN/>
        <w:adjustRightInd/>
        <w:jc w:val="left"/>
        <w:rPr>
          <w:rFonts w:cs="Times New Roman"/>
          <w:szCs w:val="24"/>
        </w:rPr>
      </w:pPr>
    </w:p>
    <w:p w:rsidR="00C318AE" w:rsidRPr="00C318AE" w:rsidRDefault="00C318AE" w:rsidP="000B35BF">
      <w:pPr>
        <w:widowControl/>
        <w:autoSpaceDE/>
        <w:autoSpaceDN/>
        <w:adjustRightInd/>
        <w:jc w:val="right"/>
        <w:rPr>
          <w:rFonts w:cs="Times New Roman"/>
          <w:b/>
          <w:i/>
          <w:szCs w:val="24"/>
        </w:rPr>
      </w:pPr>
      <w:r w:rsidRPr="000B35BF">
        <w:rPr>
          <w:rStyle w:val="auteur"/>
          <w:b/>
          <w:i/>
        </w:rPr>
        <w:t xml:space="preserve">Philippe </w:t>
      </w:r>
      <w:proofErr w:type="spellStart"/>
      <w:r w:rsidRPr="000B35BF">
        <w:rPr>
          <w:rStyle w:val="auteur"/>
          <w:b/>
          <w:i/>
        </w:rPr>
        <w:t>Jacqué</w:t>
      </w:r>
      <w:proofErr w:type="spellEnd"/>
      <w:r w:rsidRPr="000B35BF">
        <w:rPr>
          <w:rStyle w:val="auteur"/>
          <w:b/>
          <w:i/>
        </w:rPr>
        <w:t xml:space="preserve"> et Laetitia Van </w:t>
      </w:r>
      <w:proofErr w:type="spellStart"/>
      <w:r w:rsidRPr="000B35BF">
        <w:rPr>
          <w:rStyle w:val="auteur"/>
          <w:b/>
          <w:i/>
        </w:rPr>
        <w:t>Eeckhout</w:t>
      </w:r>
      <w:proofErr w:type="spellEnd"/>
      <w:r w:rsidRPr="000B35BF">
        <w:rPr>
          <w:rStyle w:val="auteur"/>
          <w:b/>
          <w:i/>
        </w:rPr>
        <w:t xml:space="preserve">, </w:t>
      </w:r>
      <w:hyperlink r:id="rId12" w:history="1">
        <w:r w:rsidRPr="000B35BF">
          <w:rPr>
            <w:rStyle w:val="Lienhypertexte"/>
            <w:rFonts w:cs="Times New Roman"/>
            <w:b/>
            <w:i/>
            <w:szCs w:val="24"/>
          </w:rPr>
          <w:t xml:space="preserve">Le Monde, </w:t>
        </w:r>
        <w:r w:rsidR="000B35BF" w:rsidRPr="000B35BF">
          <w:rPr>
            <w:rStyle w:val="Lienhypertexte"/>
            <w:rFonts w:cs="Times New Roman"/>
            <w:b/>
            <w:i/>
            <w:szCs w:val="24"/>
          </w:rPr>
          <w:t>23/09/2015</w:t>
        </w:r>
      </w:hyperlink>
    </w:p>
    <w:p w:rsidR="00C318AE" w:rsidRPr="00C318AE" w:rsidRDefault="00C318AE" w:rsidP="00C318AE">
      <w:pPr>
        <w:widowControl/>
        <w:autoSpaceDE/>
        <w:autoSpaceDN/>
        <w:adjustRightInd/>
        <w:jc w:val="left"/>
        <w:rPr>
          <w:rFonts w:cs="Times New Roman"/>
          <w:szCs w:val="24"/>
        </w:rPr>
      </w:pPr>
    </w:p>
    <w:p w:rsidR="00532028" w:rsidRDefault="00532028" w:rsidP="00532028">
      <w:pPr>
        <w:pStyle w:val="Paragraphedeliste"/>
        <w:numPr>
          <w:ilvl w:val="0"/>
          <w:numId w:val="20"/>
        </w:numPr>
      </w:pPr>
      <w:r>
        <w:t>Quel type d’intervention de l’</w:t>
      </w:r>
      <w:r>
        <w:rPr>
          <w:rFonts w:cs="Times New Roman"/>
        </w:rPr>
        <w:t>É</w:t>
      </w:r>
      <w:r>
        <w:t>tat évoque le texte.</w:t>
      </w:r>
    </w:p>
    <w:p w:rsidR="00F520E8" w:rsidRDefault="00F520E8" w:rsidP="00532028">
      <w:pPr>
        <w:pStyle w:val="Paragraphedeliste"/>
        <w:numPr>
          <w:ilvl w:val="0"/>
          <w:numId w:val="20"/>
        </w:numPr>
      </w:pPr>
      <w:r>
        <w:t>Cette intervention concerne-t-elle des producteurs ou des consommateurs ?</w:t>
      </w:r>
    </w:p>
    <w:p w:rsidR="00C318AE" w:rsidRDefault="00532028" w:rsidP="00532028">
      <w:pPr>
        <w:pStyle w:val="Paragraphedeliste"/>
        <w:numPr>
          <w:ilvl w:val="0"/>
          <w:numId w:val="20"/>
        </w:numPr>
      </w:pPr>
      <w:r>
        <w:t>Cette intervention semble-t-elle efficace ?</w:t>
      </w:r>
      <w:r w:rsidR="00643E6D">
        <w:t xml:space="preserve"> Justifiez votre réponse.</w:t>
      </w:r>
    </w:p>
    <w:p w:rsidR="00643E6D" w:rsidRDefault="00643E6D" w:rsidP="00532028">
      <w:pPr>
        <w:pStyle w:val="Paragraphedeliste"/>
        <w:numPr>
          <w:ilvl w:val="0"/>
          <w:numId w:val="20"/>
        </w:numPr>
      </w:pPr>
      <w:r>
        <w:t>Que faudrait-il faire pour qu’elle devienne plus efficace ?</w:t>
      </w:r>
    </w:p>
    <w:p w:rsidR="00C318AE" w:rsidRPr="00C318AE" w:rsidRDefault="00C318AE" w:rsidP="00C318AE">
      <w:pPr>
        <w:widowControl/>
        <w:autoSpaceDE/>
        <w:autoSpaceDN/>
        <w:adjustRightInd/>
        <w:jc w:val="left"/>
        <w:rPr>
          <w:rFonts w:cs="Times New Roman"/>
          <w:szCs w:val="24"/>
        </w:rPr>
      </w:pPr>
    </w:p>
    <w:p w:rsidR="00C318AE" w:rsidRPr="00C318AE" w:rsidRDefault="00C318AE" w:rsidP="00C318AE"/>
    <w:p w:rsidR="00FF3863" w:rsidRDefault="00FF3863" w:rsidP="00FF3863"/>
    <w:p w:rsidR="00FF3863" w:rsidRPr="00FF3863" w:rsidRDefault="00FF3863" w:rsidP="00FF3863"/>
    <w:p w:rsidR="00AB2D93" w:rsidRDefault="00AB2D93">
      <w:pPr>
        <w:widowControl/>
        <w:autoSpaceDE/>
        <w:autoSpaceDN/>
        <w:adjustRightInd/>
        <w:spacing w:after="200" w:line="276" w:lineRule="auto"/>
        <w:jc w:val="left"/>
        <w:rPr>
          <w:b/>
        </w:rPr>
      </w:pPr>
      <w:r>
        <w:rPr>
          <w:b/>
        </w:rPr>
        <w:br w:type="page"/>
      </w:r>
    </w:p>
    <w:p w:rsidR="00AB2D93" w:rsidRDefault="00AB2D93" w:rsidP="00AB2D93">
      <w:pPr>
        <w:rPr>
          <w:b/>
        </w:rPr>
      </w:pPr>
      <w:r>
        <w:rPr>
          <w:b/>
        </w:rPr>
        <w:lastRenderedPageBreak/>
        <w:t>Bonus 1</w:t>
      </w:r>
    </w:p>
    <w:p w:rsidR="00AB2D93" w:rsidRDefault="00AB2D93" w:rsidP="00C61573"/>
    <w:p w:rsidR="00FF3863" w:rsidRDefault="00FF3863" w:rsidP="00FF3863">
      <w:r w:rsidRPr="00413DA7">
        <w:t>Que reproche-t-on à Volkswagen exactement ? Volkswagen aurait commercialisé entre 2009 et 2015 482 000 véhicules équipés d’un logiciel spécifique visant à truquer les résultats de ses véhicules lors des contrôles anti-pollution. Cet outil détecterait le moment où un véhicule passe un test – par exemple sur des rouleaux – et activerait alors à 100 % les dispositifs anti-pollution. Le reste du temps, le logiciel coupe certaines fonctionnalités, comme par exemple le filtre à particule. Selon l’Agence américaine de protection de l’environnement (USEPA), les émissions d’oxyde d’azote (</w:t>
      </w:r>
      <w:proofErr w:type="spellStart"/>
      <w:r w:rsidRPr="00413DA7">
        <w:t>NOx</w:t>
      </w:r>
      <w:proofErr w:type="spellEnd"/>
      <w:r w:rsidRPr="00413DA7">
        <w:t>) sur la route seraient jusqu’à 40 fois supérieures à la norme. Pour repérer le moment où le véhicule est en phase de test, le logiciel prendrait en compte la fixité du volant ou encore le maintien du capot ouvert alors que le moteur est en marche.</w:t>
      </w:r>
    </w:p>
    <w:p w:rsidR="00FF3863" w:rsidRPr="00413DA7" w:rsidRDefault="00FF3863" w:rsidP="00FF3863">
      <w:r w:rsidRPr="00413DA7">
        <w:t xml:space="preserve">Depuis septembre, le scandale Volkswagen a fait perdre un tiers de sa valeur boursière au groupe allemand et provoqué la démission du PDG, Martin </w:t>
      </w:r>
      <w:proofErr w:type="spellStart"/>
      <w:r w:rsidRPr="00413DA7">
        <w:t>Winterkorn</w:t>
      </w:r>
      <w:proofErr w:type="spellEnd"/>
      <w:r w:rsidRPr="00413DA7">
        <w:t xml:space="preserve"> (remplacé par Matthias Müller). Selon les premières estimations</w:t>
      </w:r>
      <w:proofErr w:type="gramStart"/>
      <w:r w:rsidRPr="00413DA7">
        <w:t>,</w:t>
      </w:r>
      <w:r w:rsidR="000B35BF">
        <w:t>/</w:t>
      </w:r>
      <w:proofErr w:type="gramEnd"/>
      <w:r w:rsidRPr="00413DA7">
        <w:t xml:space="preserve"> le groupe pourrait payer plus de 16 milliards d’euros de dédommagements aux autorités américaines.</w:t>
      </w:r>
    </w:p>
    <w:p w:rsidR="00FF3863" w:rsidRPr="00413DA7" w:rsidRDefault="00FF3863" w:rsidP="00FF3863">
      <w:r w:rsidRPr="00413DA7">
        <w:t xml:space="preserve">Comment a été découverte la supercherie ? En 2014, un laboratoire de l’université de Virginie-Occidentale menait une étude sur les énergies alternatives pour le compte d’une ONG, l’International </w:t>
      </w:r>
      <w:proofErr w:type="spellStart"/>
      <w:r w:rsidRPr="00413DA7">
        <w:t>council</w:t>
      </w:r>
      <w:proofErr w:type="spellEnd"/>
      <w:r w:rsidRPr="00413DA7">
        <w:t xml:space="preserve"> for clean transportation. Or, les chercheurs ont découvert des rejets de gaz différents de ceux rendus publics par Volkswagen. En mai 2014, les blouses blanches ont donc mis au courant l’Agence américaine de protection de l’environnement (USEPA).</w:t>
      </w:r>
    </w:p>
    <w:p w:rsidR="00FF3863" w:rsidRPr="00413DA7" w:rsidRDefault="00FF3863" w:rsidP="00FF3863">
      <w:r w:rsidRPr="00413DA7">
        <w:t xml:space="preserve">Quels sont les modèles Volkswagen et Audi concernés ? Les modèles concernés par le scandale sont tous équipés de moteurs diesel. Ainsi, ce sont les Golf, </w:t>
      </w:r>
      <w:proofErr w:type="spellStart"/>
      <w:r w:rsidRPr="00413DA7">
        <w:t>Jetta</w:t>
      </w:r>
      <w:proofErr w:type="spellEnd"/>
      <w:r w:rsidRPr="00413DA7">
        <w:t xml:space="preserve">, </w:t>
      </w:r>
      <w:proofErr w:type="spellStart"/>
      <w:r w:rsidRPr="00413DA7">
        <w:t>Beetle</w:t>
      </w:r>
      <w:proofErr w:type="spellEnd"/>
      <w:r w:rsidRPr="00413DA7">
        <w:t xml:space="preserve">, </w:t>
      </w:r>
      <w:proofErr w:type="spellStart"/>
      <w:r w:rsidRPr="00413DA7">
        <w:t>Passat</w:t>
      </w:r>
      <w:proofErr w:type="spellEnd"/>
      <w:r w:rsidRPr="00413DA7">
        <w:t xml:space="preserve"> et Audi A3 qui sont pointés du doigt par l’USEPA. Ils représentent 23% des ventes du groupe VW aux Etats-Unis. Mais le parc concerné pourrait être encore plus vaste. VW a confirmé ce midi que 11 millions de véhicules, notamment équipés de moteurs de type EA189, avaient été équipés du logiciel permettant la tricherie. Ainsi, en plus de Volkswagen et Audi, Seat, Skoda ou Porsche pourraient également être touchés.</w:t>
      </w:r>
    </w:p>
    <w:p w:rsidR="00FF3863" w:rsidRPr="00413DA7" w:rsidRDefault="00FF3863" w:rsidP="00FF3863">
      <w:r w:rsidRPr="00413DA7">
        <w:t>Le scandale peut-il atteindre la France ou d’autres constructeurs ? Oui. Le ministre de l’Economie et des Finances, Michel Sapin, a appelé à des contrôles au niveau européen sur l’antenne d’Europe 1. C’est en effet au niveau communautaire que son</w:t>
      </w:r>
      <w:r>
        <w:t>t</w:t>
      </w:r>
      <w:r w:rsidRPr="00413DA7">
        <w:t xml:space="preserve"> fixées les normes Euro 6, qui régissent aujourd’hui les émissions polluantes des véhicules au sein des 28. L’un des responsable de l’ONG Transport &amp; </w:t>
      </w:r>
      <w:proofErr w:type="spellStart"/>
      <w:r w:rsidRPr="00413DA7">
        <w:t>Environment</w:t>
      </w:r>
      <w:proofErr w:type="spellEnd"/>
      <w:r w:rsidRPr="00413DA7">
        <w:t xml:space="preserve">, Greg Archer, estime selon le media britannique </w:t>
      </w:r>
      <w:proofErr w:type="spellStart"/>
      <w:r w:rsidRPr="00413DA7">
        <w:t>Sky</w:t>
      </w:r>
      <w:proofErr w:type="spellEnd"/>
      <w:r w:rsidRPr="00413DA7">
        <w:t xml:space="preserve"> news, qu’il y a « des preuves que des outils illégaux similaires sont aussi utilisés en Europe par Volkswagen, ainsi que par d’autres constructeurs ».</w:t>
      </w:r>
    </w:p>
    <w:p w:rsidR="00FF3863" w:rsidRDefault="00FF3863" w:rsidP="00FF3863"/>
    <w:p w:rsidR="00FF3863" w:rsidRPr="00413DA7" w:rsidRDefault="00FF3863" w:rsidP="00FF3863">
      <w:pPr>
        <w:jc w:val="right"/>
        <w:rPr>
          <w:b/>
          <w:i/>
        </w:rPr>
      </w:pPr>
      <w:hyperlink r:id="rId13" w:anchor="item=1" w:history="1">
        <w:r w:rsidRPr="00413DA7">
          <w:rPr>
            <w:rStyle w:val="Lienhypertexte"/>
            <w:b/>
            <w:i/>
          </w:rPr>
          <w:t>Auto-moto</w:t>
        </w:r>
        <w:r w:rsidR="00F520E8">
          <w:rPr>
            <w:rStyle w:val="Lienhypertexte"/>
            <w:b/>
            <w:i/>
          </w:rPr>
          <w:t>.</w:t>
        </w:r>
        <w:r w:rsidRPr="00413DA7">
          <w:rPr>
            <w:rStyle w:val="Lienhypertexte"/>
            <w:b/>
            <w:i/>
          </w:rPr>
          <w:t>com</w:t>
        </w:r>
      </w:hyperlink>
    </w:p>
    <w:p w:rsidR="00FF3863" w:rsidRDefault="00FF3863" w:rsidP="00FF3863"/>
    <w:p w:rsidR="00FF3863" w:rsidRDefault="00FF3863" w:rsidP="00FF3863">
      <w:pPr>
        <w:pStyle w:val="Paragraphedeliste"/>
        <w:numPr>
          <w:ilvl w:val="0"/>
          <w:numId w:val="12"/>
        </w:numPr>
      </w:pPr>
      <w:r>
        <w:t>Que reproche-t-on à Volkswagen ?</w:t>
      </w:r>
    </w:p>
    <w:p w:rsidR="00FF3863" w:rsidRDefault="00FF3863" w:rsidP="00FF3863">
      <w:pPr>
        <w:pStyle w:val="Paragraphedeliste"/>
        <w:numPr>
          <w:ilvl w:val="0"/>
          <w:numId w:val="12"/>
        </w:numPr>
      </w:pPr>
      <w:r>
        <w:t>Pourquoi a-t-il fallu attendre si longtemps pour découvrir les pratiques illégales de Volkswagen ?</w:t>
      </w:r>
    </w:p>
    <w:p w:rsidR="00532028" w:rsidRPr="00BC36CD" w:rsidRDefault="00532028" w:rsidP="00FF3863">
      <w:pPr>
        <w:pStyle w:val="Paragraphedeliste"/>
        <w:numPr>
          <w:ilvl w:val="0"/>
          <w:numId w:val="12"/>
        </w:numPr>
      </w:pPr>
      <w:r>
        <w:t>Quelle limite à l’intervention de l’</w:t>
      </w:r>
      <w:r>
        <w:rPr>
          <w:rFonts w:cs="Times New Roman"/>
        </w:rPr>
        <w:t>É</w:t>
      </w:r>
      <w:r>
        <w:t>tat cela souligne-t-il ?</w:t>
      </w:r>
    </w:p>
    <w:p w:rsidR="00AB2D93" w:rsidRDefault="00AB2D93" w:rsidP="00C61573"/>
    <w:p w:rsidR="00FB0E1E" w:rsidRDefault="00FB0E1E" w:rsidP="00C61573"/>
    <w:p w:rsidR="00FB0E1E" w:rsidRDefault="00FB0E1E">
      <w:pPr>
        <w:widowControl/>
        <w:autoSpaceDE/>
        <w:autoSpaceDN/>
        <w:adjustRightInd/>
        <w:spacing w:after="200" w:line="276" w:lineRule="auto"/>
        <w:jc w:val="left"/>
        <w:rPr>
          <w:b/>
        </w:rPr>
      </w:pPr>
      <w:r>
        <w:rPr>
          <w:b/>
        </w:rPr>
        <w:br w:type="page"/>
      </w:r>
    </w:p>
    <w:p w:rsidR="00FB0E1E" w:rsidRDefault="00FB0E1E" w:rsidP="00FB0E1E">
      <w:pPr>
        <w:rPr>
          <w:b/>
        </w:rPr>
      </w:pPr>
      <w:r>
        <w:rPr>
          <w:b/>
        </w:rPr>
        <w:lastRenderedPageBreak/>
        <w:t>Bonus 2</w:t>
      </w:r>
    </w:p>
    <w:p w:rsidR="00FB0E1E" w:rsidRDefault="00FB0E1E" w:rsidP="00C61573"/>
    <w:p w:rsidR="007247FC" w:rsidRPr="007247FC" w:rsidRDefault="007247FC" w:rsidP="007247FC">
      <w:pPr>
        <w:rPr>
          <w:b/>
        </w:rPr>
      </w:pPr>
      <w:r w:rsidRPr="007247FC">
        <w:rPr>
          <w:b/>
        </w:rPr>
        <w:t>Peut-on être sanctionné pour abandon de déchets dans la rue ?</w:t>
      </w:r>
    </w:p>
    <w:p w:rsidR="007247FC" w:rsidRPr="007247FC" w:rsidRDefault="007247FC" w:rsidP="007247FC"/>
    <w:p w:rsidR="007247FC" w:rsidRDefault="007247FC" w:rsidP="007247FC">
      <w:r w:rsidRPr="007247FC">
        <w:t xml:space="preserve">Oui, jeter ou abandonner vos déchets dans la rue fait l'objet d'une amende pénale. Par ailleurs, vous n'avez pas le droit de déposer vos déchets ménagers sur la voie publique en dehors des conditions fixées par arrêté municipal. </w:t>
      </w:r>
    </w:p>
    <w:p w:rsidR="007247FC" w:rsidRPr="007247FC" w:rsidRDefault="007247FC" w:rsidP="007247FC"/>
    <w:p w:rsidR="007247FC" w:rsidRPr="007247FC" w:rsidRDefault="007247FC" w:rsidP="007247FC">
      <w:pPr>
        <w:rPr>
          <w:b/>
        </w:rPr>
      </w:pPr>
      <w:r w:rsidRPr="007247FC">
        <w:rPr>
          <w:b/>
        </w:rPr>
        <w:t>Abandon d'ordures</w:t>
      </w:r>
    </w:p>
    <w:p w:rsidR="007247FC" w:rsidRPr="007247FC" w:rsidRDefault="007247FC" w:rsidP="007247FC">
      <w:r w:rsidRPr="007247FC">
        <w:t>Si vous déposez, abandonnez, jetez ou déversez tout type de déchets sur la voie publique en dehors des conditions fixées par arrêté, vous risquez une amende forfaitaire de :</w:t>
      </w:r>
    </w:p>
    <w:p w:rsidR="007247FC" w:rsidRPr="007247FC" w:rsidRDefault="007247FC" w:rsidP="007247FC">
      <w:pPr>
        <w:pStyle w:val="Paragraphedeliste"/>
        <w:numPr>
          <w:ilvl w:val="0"/>
          <w:numId w:val="27"/>
        </w:numPr>
      </w:pPr>
      <w:r w:rsidRPr="007247FC">
        <w:t>68 € si vous réglez l'amende immédiatement ou dans les 45 jours suivant le constat d'infraction (ou l'envoi de l'avis d'infraction le cas échéant),</w:t>
      </w:r>
    </w:p>
    <w:p w:rsidR="007247FC" w:rsidRPr="007247FC" w:rsidRDefault="007247FC" w:rsidP="007247FC">
      <w:pPr>
        <w:pStyle w:val="Paragraphedeliste"/>
        <w:numPr>
          <w:ilvl w:val="0"/>
          <w:numId w:val="27"/>
        </w:numPr>
      </w:pPr>
      <w:r w:rsidRPr="007247FC">
        <w:t>180 € au-delà de ce délai.</w:t>
      </w:r>
    </w:p>
    <w:p w:rsidR="007247FC" w:rsidRPr="007247FC" w:rsidRDefault="007247FC" w:rsidP="007247FC">
      <w:pPr>
        <w:pStyle w:val="Paragraphedeliste"/>
        <w:numPr>
          <w:ilvl w:val="0"/>
          <w:numId w:val="27"/>
        </w:numPr>
      </w:pPr>
      <w:r w:rsidRPr="007247FC">
        <w:t>À défaut de paiement ou en cas de contestation de l'amende forfaitaire, c'est le juge qui décide du montant de l'amende pouvant aller jusqu'à 450 €.</w:t>
      </w:r>
    </w:p>
    <w:p w:rsidR="007247FC" w:rsidRPr="007247FC" w:rsidRDefault="007247FC" w:rsidP="007247FC">
      <w:pPr>
        <w:rPr>
          <w:b/>
        </w:rPr>
      </w:pPr>
      <w:r w:rsidRPr="007247FC">
        <w:rPr>
          <w:b/>
        </w:rPr>
        <w:t>À savoir :</w:t>
      </w:r>
    </w:p>
    <w:p w:rsidR="007247FC" w:rsidRDefault="007247FC" w:rsidP="007247FC">
      <w:r w:rsidRPr="007247FC">
        <w:t>Si vous avez utilisé un véhicule pour les transporter, vous risquez une amende pouvant aller jusqu'à 1 500 €, ainsi que la confiscation du véhicule.</w:t>
      </w:r>
    </w:p>
    <w:p w:rsidR="007247FC" w:rsidRPr="007247FC" w:rsidRDefault="007247FC" w:rsidP="007247FC"/>
    <w:p w:rsidR="007247FC" w:rsidRPr="007247FC" w:rsidRDefault="007247FC" w:rsidP="007247FC">
      <w:pPr>
        <w:rPr>
          <w:b/>
        </w:rPr>
      </w:pPr>
      <w:r w:rsidRPr="007247FC">
        <w:rPr>
          <w:b/>
        </w:rPr>
        <w:t>Non respect des conditions de collecte des déchets</w:t>
      </w:r>
    </w:p>
    <w:p w:rsidR="007247FC" w:rsidRPr="007247FC" w:rsidRDefault="007247FC" w:rsidP="007247FC">
      <w:r w:rsidRPr="007247FC">
        <w:t>Si vous ne respectez pas les conditions de la collecte des déchets (jour, horaires, tri), vous risquez une amende forfaitaire de :</w:t>
      </w:r>
    </w:p>
    <w:p w:rsidR="007247FC" w:rsidRPr="007247FC" w:rsidRDefault="007247FC" w:rsidP="007247FC">
      <w:pPr>
        <w:pStyle w:val="Paragraphedeliste"/>
        <w:numPr>
          <w:ilvl w:val="0"/>
          <w:numId w:val="28"/>
        </w:numPr>
      </w:pPr>
      <w:r w:rsidRPr="007247FC">
        <w:t>35 € si vous réglez l'amende immédiatement ou dans les 45 jours suivant le constat d'infraction (ou l'envoi de l'avis d'infraction le cas échéant),</w:t>
      </w:r>
    </w:p>
    <w:p w:rsidR="007247FC" w:rsidRPr="007247FC" w:rsidRDefault="007247FC" w:rsidP="007247FC">
      <w:pPr>
        <w:pStyle w:val="Paragraphedeliste"/>
        <w:numPr>
          <w:ilvl w:val="0"/>
          <w:numId w:val="28"/>
        </w:numPr>
      </w:pPr>
      <w:r w:rsidRPr="007247FC">
        <w:t>75 € au-delà de ce délai.</w:t>
      </w:r>
    </w:p>
    <w:p w:rsidR="007247FC" w:rsidRPr="007247FC" w:rsidRDefault="007247FC" w:rsidP="007247FC">
      <w:pPr>
        <w:pStyle w:val="Paragraphedeliste"/>
        <w:numPr>
          <w:ilvl w:val="0"/>
          <w:numId w:val="28"/>
        </w:numPr>
      </w:pPr>
      <w:r w:rsidRPr="007247FC">
        <w:t>À défaut de paiement ou en cas de contestation de l'amende forfaitaire, c'est le juge qui décide du montant de l'amende pouvant aller jusqu'à150 €.</w:t>
      </w:r>
    </w:p>
    <w:p w:rsidR="007247FC" w:rsidRPr="007247FC" w:rsidRDefault="007247FC" w:rsidP="007247FC">
      <w:r w:rsidRPr="007247FC">
        <w:t>Si vous laissez un conteneur ou un bac à ordures ménagères en permanence dans la rue, vous risquez une amende pouvant aller jusqu'à 750 € (voire 3 750 € s'il s'agit de déchets professionnels).</w:t>
      </w:r>
    </w:p>
    <w:p w:rsidR="007247FC" w:rsidRDefault="007247FC" w:rsidP="00C61573"/>
    <w:p w:rsidR="00AA3CE0" w:rsidRPr="00AA3CE0" w:rsidRDefault="00AA3CE0" w:rsidP="00AA3CE0">
      <w:pPr>
        <w:jc w:val="right"/>
        <w:rPr>
          <w:b/>
          <w:i/>
        </w:rPr>
      </w:pPr>
      <w:hyperlink r:id="rId14" w:history="1">
        <w:r w:rsidRPr="00AA3CE0">
          <w:rPr>
            <w:rStyle w:val="Lienhypertexte"/>
            <w:b/>
            <w:i/>
          </w:rPr>
          <w:t>Service-public.fr</w:t>
        </w:r>
      </w:hyperlink>
    </w:p>
    <w:p w:rsidR="00FB0E1E" w:rsidRDefault="00FB0E1E" w:rsidP="00C61573"/>
    <w:p w:rsidR="00AA3CE0" w:rsidRDefault="00AA3CE0" w:rsidP="00AA3CE0">
      <w:pPr>
        <w:pStyle w:val="Paragraphedeliste"/>
        <w:numPr>
          <w:ilvl w:val="0"/>
          <w:numId w:val="14"/>
        </w:numPr>
      </w:pPr>
      <w:r>
        <w:t>Quel type d’intervention de l’</w:t>
      </w:r>
      <w:r>
        <w:rPr>
          <w:rFonts w:cs="Times New Roman"/>
        </w:rPr>
        <w:t>É</w:t>
      </w:r>
      <w:r>
        <w:t>tat évoque le texte.</w:t>
      </w:r>
    </w:p>
    <w:p w:rsidR="0045204E" w:rsidRDefault="007D5442" w:rsidP="0045204E">
      <w:pPr>
        <w:pStyle w:val="Paragraphedeliste"/>
        <w:numPr>
          <w:ilvl w:val="0"/>
          <w:numId w:val="14"/>
        </w:numPr>
      </w:pPr>
      <w:r>
        <w:t>Sont-ce des producteurs ou des consommateurs qui sont ici ciblés par ce type d’intervention ?</w:t>
      </w:r>
    </w:p>
    <w:p w:rsidR="007D5442" w:rsidRDefault="007D5442" w:rsidP="0045204E">
      <w:pPr>
        <w:pStyle w:val="Paragraphedeliste"/>
        <w:numPr>
          <w:ilvl w:val="0"/>
          <w:numId w:val="14"/>
        </w:numPr>
      </w:pPr>
      <w:r>
        <w:t>Diriez-vous que ce type d’intervention est efficace pour lutter contre la pollution ?</w:t>
      </w:r>
    </w:p>
    <w:p w:rsidR="0016482F" w:rsidRPr="00BF3BC2" w:rsidRDefault="0016482F" w:rsidP="00C61573"/>
    <w:sectPr w:rsidR="0016482F" w:rsidRPr="00BF3BC2" w:rsidSect="00293153">
      <w:head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117" w:rsidRDefault="00980117" w:rsidP="00CE6985">
      <w:r>
        <w:separator/>
      </w:r>
    </w:p>
  </w:endnote>
  <w:endnote w:type="continuationSeparator" w:id="0">
    <w:p w:rsidR="00980117" w:rsidRDefault="00980117" w:rsidP="00CE69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117" w:rsidRDefault="00980117" w:rsidP="00CE6985">
      <w:r>
        <w:separator/>
      </w:r>
    </w:p>
  </w:footnote>
  <w:footnote w:type="continuationSeparator" w:id="0">
    <w:p w:rsidR="00980117" w:rsidRDefault="00980117" w:rsidP="00CE6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85" w:rsidRPr="00470449" w:rsidRDefault="009C26FF" w:rsidP="00CE6985">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La pollution : comment remédier aux limites du marché</w:t>
    </w:r>
    <w:r w:rsidR="00DE2926" w:rsidRPr="00470449">
      <w:rPr>
        <w:b/>
        <w:color w:val="E36C0A" w:themeColor="accent6" w:themeShade="BF"/>
        <w:sz w:val="16"/>
        <w:szCs w:val="16"/>
      </w:rPr>
      <w:t xml:space="preserve"> (</w:t>
    </w:r>
    <w:r w:rsidR="00E056AD">
      <w:rPr>
        <w:b/>
        <w:color w:val="E36C0A" w:themeColor="accent6" w:themeShade="BF"/>
        <w:sz w:val="16"/>
        <w:szCs w:val="16"/>
      </w:rPr>
      <w:t>2</w:t>
    </w:r>
    <w:r w:rsidR="00DE2926" w:rsidRPr="00470449">
      <w:rPr>
        <w:b/>
        <w:color w:val="E36C0A" w:themeColor="accent6" w:themeShade="BF"/>
        <w:sz w:val="16"/>
        <w:szCs w:val="16"/>
      </w:rPr>
      <w:t>/</w:t>
    </w:r>
    <w:r>
      <w:rPr>
        <w:b/>
        <w:color w:val="E36C0A" w:themeColor="accent6" w:themeShade="BF"/>
        <w:sz w:val="16"/>
        <w:szCs w:val="16"/>
      </w:rPr>
      <w:t>2</w:t>
    </w:r>
    <w:r w:rsidR="00DE2926" w:rsidRPr="00470449">
      <w:rPr>
        <w:b/>
        <w:color w:val="E36C0A" w:themeColor="accent6" w:themeShade="BF"/>
        <w:sz w:val="16"/>
        <w:szCs w:val="16"/>
      </w:rPr>
      <w:t xml:space="preserve">) </w:t>
    </w:r>
    <w:r w:rsidR="00DE2926">
      <w:rPr>
        <w:b/>
        <w:color w:val="E36C0A" w:themeColor="accent6" w:themeShade="BF"/>
        <w:sz w:val="16"/>
        <w:szCs w:val="16"/>
      </w:rPr>
      <w:t>–</w:t>
    </w:r>
    <w:r w:rsidR="00DE2926" w:rsidRPr="00470449">
      <w:rPr>
        <w:b/>
        <w:color w:val="E36C0A" w:themeColor="accent6" w:themeShade="BF"/>
        <w:sz w:val="16"/>
        <w:szCs w:val="16"/>
      </w:rPr>
      <w:t xml:space="preserve"> </w:t>
    </w:r>
    <w:r w:rsidR="00E056AD">
      <w:rPr>
        <w:b/>
        <w:color w:val="E36C0A" w:themeColor="accent6" w:themeShade="BF"/>
        <w:sz w:val="16"/>
        <w:szCs w:val="16"/>
      </w:rPr>
      <w:t>L’intervention de l’</w:t>
    </w:r>
    <w:r w:rsidR="00E056AD">
      <w:rPr>
        <w:rFonts w:cs="Times New Roman"/>
        <w:b/>
        <w:color w:val="E36C0A" w:themeColor="accent6" w:themeShade="BF"/>
        <w:sz w:val="16"/>
        <w:szCs w:val="16"/>
      </w:rPr>
      <w:t>É</w:t>
    </w:r>
    <w:r w:rsidR="00E056AD">
      <w:rPr>
        <w:b/>
        <w:color w:val="E36C0A" w:themeColor="accent6" w:themeShade="BF"/>
        <w:sz w:val="16"/>
        <w:szCs w:val="16"/>
      </w:rPr>
      <w:t>tat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C25"/>
    <w:multiLevelType w:val="multilevel"/>
    <w:tmpl w:val="7E0E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A7B83"/>
    <w:multiLevelType w:val="hybridMultilevel"/>
    <w:tmpl w:val="46F6DA08"/>
    <w:lvl w:ilvl="0" w:tplc="087272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1A5413"/>
    <w:multiLevelType w:val="hybridMultilevel"/>
    <w:tmpl w:val="5D6A0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9A1482"/>
    <w:multiLevelType w:val="multilevel"/>
    <w:tmpl w:val="F51E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A262E"/>
    <w:multiLevelType w:val="hybridMultilevel"/>
    <w:tmpl w:val="F2D69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875648"/>
    <w:multiLevelType w:val="hybridMultilevel"/>
    <w:tmpl w:val="84F66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DB4784"/>
    <w:multiLevelType w:val="hybridMultilevel"/>
    <w:tmpl w:val="35987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8F2F45"/>
    <w:multiLevelType w:val="hybridMultilevel"/>
    <w:tmpl w:val="6674F7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772048"/>
    <w:multiLevelType w:val="hybridMultilevel"/>
    <w:tmpl w:val="4D2C20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4F76DC"/>
    <w:multiLevelType w:val="hybridMultilevel"/>
    <w:tmpl w:val="5A5A8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9C1248"/>
    <w:multiLevelType w:val="multilevel"/>
    <w:tmpl w:val="24B23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860396"/>
    <w:multiLevelType w:val="multilevel"/>
    <w:tmpl w:val="800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640D07"/>
    <w:multiLevelType w:val="hybridMultilevel"/>
    <w:tmpl w:val="611CD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BA4D79"/>
    <w:multiLevelType w:val="hybridMultilevel"/>
    <w:tmpl w:val="AAD2B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2D3C81"/>
    <w:multiLevelType w:val="hybridMultilevel"/>
    <w:tmpl w:val="D72E88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7055FE7"/>
    <w:multiLevelType w:val="hybridMultilevel"/>
    <w:tmpl w:val="5D6A0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F544B3"/>
    <w:multiLevelType w:val="hybridMultilevel"/>
    <w:tmpl w:val="70D4E2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C8020FC"/>
    <w:multiLevelType w:val="multilevel"/>
    <w:tmpl w:val="5008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204F5D"/>
    <w:multiLevelType w:val="multilevel"/>
    <w:tmpl w:val="C31C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193D68"/>
    <w:multiLevelType w:val="multilevel"/>
    <w:tmpl w:val="E0CE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E362E9"/>
    <w:multiLevelType w:val="multilevel"/>
    <w:tmpl w:val="BB3A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FC6A4D"/>
    <w:multiLevelType w:val="hybridMultilevel"/>
    <w:tmpl w:val="A2869A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EE54161"/>
    <w:multiLevelType w:val="multilevel"/>
    <w:tmpl w:val="E3B4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C73E1A"/>
    <w:multiLevelType w:val="multilevel"/>
    <w:tmpl w:val="7C8C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DC22C3"/>
    <w:multiLevelType w:val="multilevel"/>
    <w:tmpl w:val="AAF4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E01C8A"/>
    <w:multiLevelType w:val="hybridMultilevel"/>
    <w:tmpl w:val="404C17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B3164A4"/>
    <w:multiLevelType w:val="hybridMultilevel"/>
    <w:tmpl w:val="35987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25"/>
  </w:num>
  <w:num w:numId="3">
    <w:abstractNumId w:val="8"/>
  </w:num>
  <w:num w:numId="4">
    <w:abstractNumId w:val="3"/>
  </w:num>
  <w:num w:numId="5">
    <w:abstractNumId w:val="11"/>
  </w:num>
  <w:num w:numId="6">
    <w:abstractNumId w:val="2"/>
  </w:num>
  <w:num w:numId="7">
    <w:abstractNumId w:val="16"/>
  </w:num>
  <w:num w:numId="8">
    <w:abstractNumId w:val="26"/>
  </w:num>
  <w:num w:numId="9">
    <w:abstractNumId w:val="4"/>
  </w:num>
  <w:num w:numId="10">
    <w:abstractNumId w:val="1"/>
  </w:num>
  <w:num w:numId="11">
    <w:abstractNumId w:val="9"/>
  </w:num>
  <w:num w:numId="12">
    <w:abstractNumId w:val="15"/>
  </w:num>
  <w:num w:numId="13">
    <w:abstractNumId w:val="7"/>
  </w:num>
  <w:num w:numId="14">
    <w:abstractNumId w:val="27"/>
  </w:num>
  <w:num w:numId="15">
    <w:abstractNumId w:val="6"/>
  </w:num>
  <w:num w:numId="16">
    <w:abstractNumId w:val="14"/>
  </w:num>
  <w:num w:numId="17">
    <w:abstractNumId w:val="5"/>
  </w:num>
  <w:num w:numId="18">
    <w:abstractNumId w:val="23"/>
  </w:num>
  <w:num w:numId="19">
    <w:abstractNumId w:val="12"/>
  </w:num>
  <w:num w:numId="20">
    <w:abstractNumId w:val="17"/>
  </w:num>
  <w:num w:numId="21">
    <w:abstractNumId w:val="0"/>
  </w:num>
  <w:num w:numId="22">
    <w:abstractNumId w:val="21"/>
  </w:num>
  <w:num w:numId="23">
    <w:abstractNumId w:val="18"/>
  </w:num>
  <w:num w:numId="24">
    <w:abstractNumId w:val="19"/>
  </w:num>
  <w:num w:numId="25">
    <w:abstractNumId w:val="20"/>
  </w:num>
  <w:num w:numId="26">
    <w:abstractNumId w:val="24"/>
  </w:num>
  <w:num w:numId="27">
    <w:abstractNumId w:val="1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CE6985"/>
    <w:rsid w:val="00024A7B"/>
    <w:rsid w:val="00072F67"/>
    <w:rsid w:val="000848DC"/>
    <w:rsid w:val="000B35BF"/>
    <w:rsid w:val="000E6293"/>
    <w:rsid w:val="001528E1"/>
    <w:rsid w:val="0016482F"/>
    <w:rsid w:val="00192455"/>
    <w:rsid w:val="001A074F"/>
    <w:rsid w:val="001F75B1"/>
    <w:rsid w:val="002012C1"/>
    <w:rsid w:val="00202EF3"/>
    <w:rsid w:val="00262CFC"/>
    <w:rsid w:val="00293153"/>
    <w:rsid w:val="002A45E6"/>
    <w:rsid w:val="0034036D"/>
    <w:rsid w:val="003559D5"/>
    <w:rsid w:val="0037205D"/>
    <w:rsid w:val="003768BD"/>
    <w:rsid w:val="00413DA7"/>
    <w:rsid w:val="0045204E"/>
    <w:rsid w:val="00494E60"/>
    <w:rsid w:val="004C469A"/>
    <w:rsid w:val="004C78B3"/>
    <w:rsid w:val="004D7EE9"/>
    <w:rsid w:val="00532028"/>
    <w:rsid w:val="005461F7"/>
    <w:rsid w:val="00553521"/>
    <w:rsid w:val="005B1DC6"/>
    <w:rsid w:val="005D0D93"/>
    <w:rsid w:val="006169FA"/>
    <w:rsid w:val="00643E6D"/>
    <w:rsid w:val="00666CF3"/>
    <w:rsid w:val="006F4C0F"/>
    <w:rsid w:val="007247FC"/>
    <w:rsid w:val="00766107"/>
    <w:rsid w:val="007D05BE"/>
    <w:rsid w:val="007D5442"/>
    <w:rsid w:val="00853AD3"/>
    <w:rsid w:val="00860F93"/>
    <w:rsid w:val="0088670A"/>
    <w:rsid w:val="008B561D"/>
    <w:rsid w:val="008C1434"/>
    <w:rsid w:val="008D16B5"/>
    <w:rsid w:val="008F179C"/>
    <w:rsid w:val="00980117"/>
    <w:rsid w:val="009C26FF"/>
    <w:rsid w:val="009D004F"/>
    <w:rsid w:val="00A1643B"/>
    <w:rsid w:val="00A66FFF"/>
    <w:rsid w:val="00A81163"/>
    <w:rsid w:val="00A94EB1"/>
    <w:rsid w:val="00A951BD"/>
    <w:rsid w:val="00AA3CE0"/>
    <w:rsid w:val="00AB22EC"/>
    <w:rsid w:val="00AB2D93"/>
    <w:rsid w:val="00AC24EF"/>
    <w:rsid w:val="00AC5C7D"/>
    <w:rsid w:val="00BC36CD"/>
    <w:rsid w:val="00BF3BC2"/>
    <w:rsid w:val="00C128E9"/>
    <w:rsid w:val="00C318AE"/>
    <w:rsid w:val="00C57948"/>
    <w:rsid w:val="00C61573"/>
    <w:rsid w:val="00CD2A9F"/>
    <w:rsid w:val="00CE4063"/>
    <w:rsid w:val="00CE6985"/>
    <w:rsid w:val="00D42A58"/>
    <w:rsid w:val="00DC2671"/>
    <w:rsid w:val="00DE2926"/>
    <w:rsid w:val="00E056AD"/>
    <w:rsid w:val="00E3486F"/>
    <w:rsid w:val="00E733A2"/>
    <w:rsid w:val="00ED0CEA"/>
    <w:rsid w:val="00EF5913"/>
    <w:rsid w:val="00F106BB"/>
    <w:rsid w:val="00F22143"/>
    <w:rsid w:val="00F520E8"/>
    <w:rsid w:val="00FB0E1E"/>
    <w:rsid w:val="00FF38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85"/>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link w:val="Titre1Car"/>
    <w:uiPriority w:val="9"/>
    <w:qFormat/>
    <w:rsid w:val="00A81163"/>
    <w:pPr>
      <w:widowControl/>
      <w:autoSpaceDE/>
      <w:autoSpaceDN/>
      <w:adjustRightInd/>
      <w:spacing w:before="100" w:beforeAutospacing="1" w:after="100" w:afterAutospacing="1"/>
      <w:jc w:val="left"/>
      <w:outlineLvl w:val="0"/>
    </w:pPr>
    <w:rPr>
      <w:rFonts w:cs="Times New Roman"/>
      <w:b/>
      <w:bCs/>
      <w:kern w:val="36"/>
      <w:sz w:val="48"/>
      <w:szCs w:val="48"/>
    </w:rPr>
  </w:style>
  <w:style w:type="paragraph" w:styleId="Titre2">
    <w:name w:val="heading 2"/>
    <w:basedOn w:val="Normal"/>
    <w:next w:val="Normal"/>
    <w:link w:val="Titre2Car"/>
    <w:uiPriority w:val="9"/>
    <w:semiHidden/>
    <w:unhideWhenUsed/>
    <w:qFormat/>
    <w:rsid w:val="00AC24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7205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6985"/>
    <w:pPr>
      <w:tabs>
        <w:tab w:val="center" w:pos="4536"/>
        <w:tab w:val="right" w:pos="9072"/>
      </w:tabs>
    </w:pPr>
  </w:style>
  <w:style w:type="character" w:customStyle="1" w:styleId="En-tteCar">
    <w:name w:val="En-tête Car"/>
    <w:basedOn w:val="Policepardfaut"/>
    <w:link w:val="En-tte"/>
    <w:uiPriority w:val="99"/>
    <w:rsid w:val="00CE6985"/>
    <w:rPr>
      <w:rFonts w:ascii="Times New Roman" w:hAnsi="Times New Roman" w:cs="Arial"/>
      <w:sz w:val="24"/>
      <w:lang w:eastAsia="fr-FR"/>
    </w:rPr>
  </w:style>
  <w:style w:type="paragraph" w:styleId="Pieddepage">
    <w:name w:val="footer"/>
    <w:basedOn w:val="Normal"/>
    <w:link w:val="PieddepageCar"/>
    <w:uiPriority w:val="99"/>
    <w:semiHidden/>
    <w:unhideWhenUsed/>
    <w:rsid w:val="00CE6985"/>
    <w:pPr>
      <w:tabs>
        <w:tab w:val="center" w:pos="4536"/>
        <w:tab w:val="right" w:pos="9072"/>
      </w:tabs>
    </w:pPr>
  </w:style>
  <w:style w:type="character" w:customStyle="1" w:styleId="PieddepageCar">
    <w:name w:val="Pied de page Car"/>
    <w:basedOn w:val="Policepardfaut"/>
    <w:link w:val="Pieddepage"/>
    <w:uiPriority w:val="99"/>
    <w:semiHidden/>
    <w:rsid w:val="00CE6985"/>
    <w:rPr>
      <w:rFonts w:ascii="Times New Roman" w:hAnsi="Times New Roman" w:cs="Arial"/>
      <w:sz w:val="24"/>
      <w:lang w:eastAsia="fr-FR"/>
    </w:rPr>
  </w:style>
  <w:style w:type="paragraph" w:styleId="Paragraphedeliste">
    <w:name w:val="List Paragraph"/>
    <w:basedOn w:val="Normal"/>
    <w:uiPriority w:val="34"/>
    <w:qFormat/>
    <w:rsid w:val="00CE6985"/>
    <w:pPr>
      <w:ind w:left="720"/>
      <w:contextualSpacing/>
    </w:pPr>
  </w:style>
  <w:style w:type="table" w:styleId="Grilledutableau">
    <w:name w:val="Table Grid"/>
    <w:basedOn w:val="TableauNormal"/>
    <w:uiPriority w:val="59"/>
    <w:rsid w:val="00C57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81163"/>
    <w:rPr>
      <w:color w:val="0000FF"/>
      <w:u w:val="single"/>
    </w:rPr>
  </w:style>
  <w:style w:type="character" w:styleId="Accentuation">
    <w:name w:val="Emphasis"/>
    <w:basedOn w:val="Policepardfaut"/>
    <w:uiPriority w:val="20"/>
    <w:qFormat/>
    <w:rsid w:val="00A81163"/>
    <w:rPr>
      <w:i/>
      <w:iCs/>
    </w:rPr>
  </w:style>
  <w:style w:type="paragraph" w:styleId="NormalWeb">
    <w:name w:val="Normal (Web)"/>
    <w:basedOn w:val="Normal"/>
    <w:uiPriority w:val="99"/>
    <w:unhideWhenUsed/>
    <w:rsid w:val="00A81163"/>
    <w:pPr>
      <w:widowControl/>
      <w:autoSpaceDE/>
      <w:autoSpaceDN/>
      <w:adjustRightInd/>
      <w:spacing w:before="100" w:beforeAutospacing="1" w:after="100" w:afterAutospacing="1"/>
      <w:jc w:val="left"/>
    </w:pPr>
    <w:rPr>
      <w:rFonts w:cs="Times New Roman"/>
      <w:szCs w:val="24"/>
    </w:rPr>
  </w:style>
  <w:style w:type="character" w:styleId="Lienhypertextesuivivisit">
    <w:name w:val="FollowedHyperlink"/>
    <w:basedOn w:val="Policepardfaut"/>
    <w:uiPriority w:val="99"/>
    <w:semiHidden/>
    <w:unhideWhenUsed/>
    <w:rsid w:val="00A81163"/>
    <w:rPr>
      <w:color w:val="800080" w:themeColor="followedHyperlink"/>
      <w:u w:val="single"/>
    </w:rPr>
  </w:style>
  <w:style w:type="character" w:customStyle="1" w:styleId="author">
    <w:name w:val="author"/>
    <w:basedOn w:val="Policepardfaut"/>
    <w:rsid w:val="00A81163"/>
  </w:style>
  <w:style w:type="character" w:customStyle="1" w:styleId="Titre1Car">
    <w:name w:val="Titre 1 Car"/>
    <w:basedOn w:val="Policepardfaut"/>
    <w:link w:val="Titre1"/>
    <w:uiPriority w:val="9"/>
    <w:rsid w:val="00A81163"/>
    <w:rPr>
      <w:rFonts w:ascii="Times New Roman" w:hAnsi="Times New Roman" w:cs="Times New Roman"/>
      <w:b/>
      <w:bCs/>
      <w:kern w:val="36"/>
      <w:sz w:val="48"/>
      <w:szCs w:val="48"/>
      <w:lang w:eastAsia="fr-FR"/>
    </w:rPr>
  </w:style>
  <w:style w:type="character" w:customStyle="1" w:styleId="entry-date">
    <w:name w:val="entry-date"/>
    <w:basedOn w:val="Policepardfaut"/>
    <w:rsid w:val="00A81163"/>
  </w:style>
  <w:style w:type="character" w:customStyle="1" w:styleId="Titre2Car">
    <w:name w:val="Titre 2 Car"/>
    <w:basedOn w:val="Policepardfaut"/>
    <w:link w:val="Titre2"/>
    <w:uiPriority w:val="9"/>
    <w:semiHidden/>
    <w:rsid w:val="00AC24EF"/>
    <w:rPr>
      <w:rFonts w:asciiTheme="majorHAnsi" w:eastAsiaTheme="majorEastAsia" w:hAnsiTheme="majorHAnsi" w:cstheme="majorBidi"/>
      <w:b/>
      <w:bCs/>
      <w:color w:val="4F81BD" w:themeColor="accent1"/>
      <w:sz w:val="26"/>
      <w:szCs w:val="26"/>
      <w:lang w:eastAsia="fr-FR"/>
    </w:rPr>
  </w:style>
  <w:style w:type="character" w:customStyle="1" w:styleId="auteur">
    <w:name w:val="auteur"/>
    <w:basedOn w:val="Policepardfaut"/>
    <w:rsid w:val="00C61573"/>
  </w:style>
  <w:style w:type="character" w:customStyle="1" w:styleId="st">
    <w:name w:val="st"/>
    <w:basedOn w:val="Policepardfaut"/>
    <w:rsid w:val="00C61573"/>
  </w:style>
  <w:style w:type="character" w:customStyle="1" w:styleId="Titre3Car">
    <w:name w:val="Titre 3 Car"/>
    <w:basedOn w:val="Policepardfaut"/>
    <w:link w:val="Titre3"/>
    <w:uiPriority w:val="9"/>
    <w:semiHidden/>
    <w:rsid w:val="0037205D"/>
    <w:rPr>
      <w:rFonts w:asciiTheme="majorHAnsi" w:eastAsiaTheme="majorEastAsia" w:hAnsiTheme="majorHAnsi" w:cstheme="majorBidi"/>
      <w:b/>
      <w:bCs/>
      <w:color w:val="4F81BD" w:themeColor="accent1"/>
      <w:sz w:val="24"/>
      <w:lang w:eastAsia="fr-FR"/>
    </w:rPr>
  </w:style>
  <w:style w:type="character" w:customStyle="1" w:styleId="field-content">
    <w:name w:val="field-content"/>
    <w:basedOn w:val="Policepardfaut"/>
    <w:rsid w:val="0037205D"/>
  </w:style>
  <w:style w:type="character" w:customStyle="1" w:styleId="legende">
    <w:name w:val="legende"/>
    <w:basedOn w:val="Policepardfaut"/>
    <w:rsid w:val="0037205D"/>
  </w:style>
  <w:style w:type="character" w:customStyle="1" w:styleId="point-orange">
    <w:name w:val="point-orange"/>
    <w:basedOn w:val="Policepardfaut"/>
    <w:rsid w:val="0037205D"/>
  </w:style>
  <w:style w:type="paragraph" w:styleId="Textedebulles">
    <w:name w:val="Balloon Text"/>
    <w:basedOn w:val="Normal"/>
    <w:link w:val="TextedebullesCar"/>
    <w:uiPriority w:val="99"/>
    <w:semiHidden/>
    <w:unhideWhenUsed/>
    <w:rsid w:val="0037205D"/>
    <w:rPr>
      <w:rFonts w:ascii="Tahoma" w:hAnsi="Tahoma" w:cs="Tahoma"/>
      <w:sz w:val="16"/>
      <w:szCs w:val="16"/>
    </w:rPr>
  </w:style>
  <w:style w:type="character" w:customStyle="1" w:styleId="TextedebullesCar">
    <w:name w:val="Texte de bulles Car"/>
    <w:basedOn w:val="Policepardfaut"/>
    <w:link w:val="Textedebulles"/>
    <w:uiPriority w:val="99"/>
    <w:semiHidden/>
    <w:rsid w:val="0037205D"/>
    <w:rPr>
      <w:rFonts w:ascii="Tahoma" w:hAnsi="Tahoma" w:cs="Tahoma"/>
      <w:sz w:val="16"/>
      <w:szCs w:val="16"/>
      <w:lang w:eastAsia="fr-FR"/>
    </w:rPr>
  </w:style>
  <w:style w:type="paragraph" w:customStyle="1" w:styleId="lastp">
    <w:name w:val="lastp"/>
    <w:basedOn w:val="Normal"/>
    <w:rsid w:val="00BF3BC2"/>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AB2D93"/>
    <w:rPr>
      <w:b/>
      <w:bCs/>
    </w:rPr>
  </w:style>
  <w:style w:type="paragraph" w:customStyle="1" w:styleId="them2">
    <w:name w:val="them2"/>
    <w:basedOn w:val="Normal"/>
    <w:rsid w:val="00CD2A9F"/>
    <w:pPr>
      <w:widowControl/>
      <w:autoSpaceDE/>
      <w:autoSpaceDN/>
      <w:adjustRightInd/>
      <w:spacing w:before="100" w:beforeAutospacing="1" w:after="100" w:afterAutospacing="1"/>
      <w:jc w:val="left"/>
    </w:pPr>
    <w:rPr>
      <w:rFonts w:cs="Times New Roman"/>
      <w:szCs w:val="24"/>
    </w:rPr>
  </w:style>
  <w:style w:type="character" w:customStyle="1" w:styleId="accroche">
    <w:name w:val="accroche"/>
    <w:basedOn w:val="Policepardfaut"/>
    <w:rsid w:val="00C318AE"/>
  </w:style>
  <w:style w:type="paragraph" w:customStyle="1" w:styleId="date">
    <w:name w:val="date"/>
    <w:basedOn w:val="Normal"/>
    <w:rsid w:val="007247FC"/>
    <w:pPr>
      <w:widowControl/>
      <w:autoSpaceDE/>
      <w:autoSpaceDN/>
      <w:adjustRightInd/>
      <w:spacing w:before="100" w:beforeAutospacing="1" w:after="100" w:afterAutospacing="1"/>
      <w:jc w:val="left"/>
    </w:pPr>
    <w:rPr>
      <w:rFonts w:cs="Times New Roman"/>
      <w:szCs w:val="24"/>
    </w:rPr>
  </w:style>
  <w:style w:type="character" w:customStyle="1" w:styleId="sr-only">
    <w:name w:val="sr-only"/>
    <w:basedOn w:val="Policepardfaut"/>
    <w:rsid w:val="007247FC"/>
  </w:style>
  <w:style w:type="character" w:styleId="DfinitionHTML">
    <w:name w:val="HTML Definition"/>
    <w:basedOn w:val="Policepardfaut"/>
    <w:uiPriority w:val="99"/>
    <w:semiHidden/>
    <w:unhideWhenUsed/>
    <w:rsid w:val="007247FC"/>
    <w:rPr>
      <w:i/>
      <w:iCs/>
    </w:rPr>
  </w:style>
  <w:style w:type="character" w:customStyle="1" w:styleId="prix">
    <w:name w:val="prix"/>
    <w:basedOn w:val="Policepardfaut"/>
    <w:rsid w:val="007247FC"/>
  </w:style>
  <w:style w:type="paragraph" w:customStyle="1" w:styleId="bloc-edito-title">
    <w:name w:val="bloc-edito-title"/>
    <w:basedOn w:val="Normal"/>
    <w:rsid w:val="007247FC"/>
    <w:pPr>
      <w:widowControl/>
      <w:autoSpaceDE/>
      <w:autoSpaceDN/>
      <w:adjustRightInd/>
      <w:spacing w:before="100" w:beforeAutospacing="1" w:after="100" w:afterAutospacing="1"/>
      <w:jc w:val="left"/>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77364836">
      <w:bodyDiv w:val="1"/>
      <w:marLeft w:val="0"/>
      <w:marRight w:val="0"/>
      <w:marTop w:val="0"/>
      <w:marBottom w:val="0"/>
      <w:divBdr>
        <w:top w:val="none" w:sz="0" w:space="0" w:color="auto"/>
        <w:left w:val="none" w:sz="0" w:space="0" w:color="auto"/>
        <w:bottom w:val="none" w:sz="0" w:space="0" w:color="auto"/>
        <w:right w:val="none" w:sz="0" w:space="0" w:color="auto"/>
      </w:divBdr>
      <w:divsChild>
        <w:div w:id="732462249">
          <w:marLeft w:val="0"/>
          <w:marRight w:val="0"/>
          <w:marTop w:val="0"/>
          <w:marBottom w:val="0"/>
          <w:divBdr>
            <w:top w:val="none" w:sz="0" w:space="0" w:color="auto"/>
            <w:left w:val="none" w:sz="0" w:space="0" w:color="auto"/>
            <w:bottom w:val="none" w:sz="0" w:space="0" w:color="auto"/>
            <w:right w:val="none" w:sz="0" w:space="0" w:color="auto"/>
          </w:divBdr>
        </w:div>
      </w:divsChild>
    </w:div>
    <w:div w:id="103886866">
      <w:bodyDiv w:val="1"/>
      <w:marLeft w:val="0"/>
      <w:marRight w:val="0"/>
      <w:marTop w:val="0"/>
      <w:marBottom w:val="0"/>
      <w:divBdr>
        <w:top w:val="none" w:sz="0" w:space="0" w:color="auto"/>
        <w:left w:val="none" w:sz="0" w:space="0" w:color="auto"/>
        <w:bottom w:val="none" w:sz="0" w:space="0" w:color="auto"/>
        <w:right w:val="none" w:sz="0" w:space="0" w:color="auto"/>
      </w:divBdr>
    </w:div>
    <w:div w:id="119762889">
      <w:bodyDiv w:val="1"/>
      <w:marLeft w:val="0"/>
      <w:marRight w:val="0"/>
      <w:marTop w:val="0"/>
      <w:marBottom w:val="0"/>
      <w:divBdr>
        <w:top w:val="none" w:sz="0" w:space="0" w:color="auto"/>
        <w:left w:val="none" w:sz="0" w:space="0" w:color="auto"/>
        <w:bottom w:val="none" w:sz="0" w:space="0" w:color="auto"/>
        <w:right w:val="none" w:sz="0" w:space="0" w:color="auto"/>
      </w:divBdr>
    </w:div>
    <w:div w:id="139687901">
      <w:bodyDiv w:val="1"/>
      <w:marLeft w:val="0"/>
      <w:marRight w:val="0"/>
      <w:marTop w:val="0"/>
      <w:marBottom w:val="0"/>
      <w:divBdr>
        <w:top w:val="none" w:sz="0" w:space="0" w:color="auto"/>
        <w:left w:val="none" w:sz="0" w:space="0" w:color="auto"/>
        <w:bottom w:val="none" w:sz="0" w:space="0" w:color="auto"/>
        <w:right w:val="none" w:sz="0" w:space="0" w:color="auto"/>
      </w:divBdr>
      <w:divsChild>
        <w:div w:id="760495492">
          <w:marLeft w:val="0"/>
          <w:marRight w:val="0"/>
          <w:marTop w:val="0"/>
          <w:marBottom w:val="0"/>
          <w:divBdr>
            <w:top w:val="none" w:sz="0" w:space="0" w:color="auto"/>
            <w:left w:val="none" w:sz="0" w:space="0" w:color="auto"/>
            <w:bottom w:val="none" w:sz="0" w:space="0" w:color="auto"/>
            <w:right w:val="none" w:sz="0" w:space="0" w:color="auto"/>
          </w:divBdr>
        </w:div>
      </w:divsChild>
    </w:div>
    <w:div w:id="308169423">
      <w:bodyDiv w:val="1"/>
      <w:marLeft w:val="0"/>
      <w:marRight w:val="0"/>
      <w:marTop w:val="0"/>
      <w:marBottom w:val="0"/>
      <w:divBdr>
        <w:top w:val="none" w:sz="0" w:space="0" w:color="auto"/>
        <w:left w:val="none" w:sz="0" w:space="0" w:color="auto"/>
        <w:bottom w:val="none" w:sz="0" w:space="0" w:color="auto"/>
        <w:right w:val="none" w:sz="0" w:space="0" w:color="auto"/>
      </w:divBdr>
    </w:div>
    <w:div w:id="373893825">
      <w:bodyDiv w:val="1"/>
      <w:marLeft w:val="0"/>
      <w:marRight w:val="0"/>
      <w:marTop w:val="0"/>
      <w:marBottom w:val="0"/>
      <w:divBdr>
        <w:top w:val="none" w:sz="0" w:space="0" w:color="auto"/>
        <w:left w:val="none" w:sz="0" w:space="0" w:color="auto"/>
        <w:bottom w:val="none" w:sz="0" w:space="0" w:color="auto"/>
        <w:right w:val="none" w:sz="0" w:space="0" w:color="auto"/>
      </w:divBdr>
      <w:divsChild>
        <w:div w:id="1668745527">
          <w:marLeft w:val="0"/>
          <w:marRight w:val="0"/>
          <w:marTop w:val="0"/>
          <w:marBottom w:val="0"/>
          <w:divBdr>
            <w:top w:val="none" w:sz="0" w:space="0" w:color="auto"/>
            <w:left w:val="none" w:sz="0" w:space="0" w:color="auto"/>
            <w:bottom w:val="none" w:sz="0" w:space="0" w:color="auto"/>
            <w:right w:val="none" w:sz="0" w:space="0" w:color="auto"/>
          </w:divBdr>
          <w:divsChild>
            <w:div w:id="67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5161">
      <w:bodyDiv w:val="1"/>
      <w:marLeft w:val="0"/>
      <w:marRight w:val="0"/>
      <w:marTop w:val="0"/>
      <w:marBottom w:val="0"/>
      <w:divBdr>
        <w:top w:val="none" w:sz="0" w:space="0" w:color="auto"/>
        <w:left w:val="none" w:sz="0" w:space="0" w:color="auto"/>
        <w:bottom w:val="none" w:sz="0" w:space="0" w:color="auto"/>
        <w:right w:val="none" w:sz="0" w:space="0" w:color="auto"/>
      </w:divBdr>
      <w:divsChild>
        <w:div w:id="340203569">
          <w:marLeft w:val="0"/>
          <w:marRight w:val="0"/>
          <w:marTop w:val="0"/>
          <w:marBottom w:val="0"/>
          <w:divBdr>
            <w:top w:val="none" w:sz="0" w:space="0" w:color="auto"/>
            <w:left w:val="none" w:sz="0" w:space="0" w:color="auto"/>
            <w:bottom w:val="none" w:sz="0" w:space="0" w:color="auto"/>
            <w:right w:val="none" w:sz="0" w:space="0" w:color="auto"/>
          </w:divBdr>
        </w:div>
      </w:divsChild>
    </w:div>
    <w:div w:id="425032083">
      <w:bodyDiv w:val="1"/>
      <w:marLeft w:val="0"/>
      <w:marRight w:val="0"/>
      <w:marTop w:val="0"/>
      <w:marBottom w:val="0"/>
      <w:divBdr>
        <w:top w:val="none" w:sz="0" w:space="0" w:color="auto"/>
        <w:left w:val="none" w:sz="0" w:space="0" w:color="auto"/>
        <w:bottom w:val="none" w:sz="0" w:space="0" w:color="auto"/>
        <w:right w:val="none" w:sz="0" w:space="0" w:color="auto"/>
      </w:divBdr>
    </w:div>
    <w:div w:id="528026989">
      <w:bodyDiv w:val="1"/>
      <w:marLeft w:val="0"/>
      <w:marRight w:val="0"/>
      <w:marTop w:val="0"/>
      <w:marBottom w:val="0"/>
      <w:divBdr>
        <w:top w:val="none" w:sz="0" w:space="0" w:color="auto"/>
        <w:left w:val="none" w:sz="0" w:space="0" w:color="auto"/>
        <w:bottom w:val="none" w:sz="0" w:space="0" w:color="auto"/>
        <w:right w:val="none" w:sz="0" w:space="0" w:color="auto"/>
      </w:divBdr>
    </w:div>
    <w:div w:id="795759193">
      <w:bodyDiv w:val="1"/>
      <w:marLeft w:val="0"/>
      <w:marRight w:val="0"/>
      <w:marTop w:val="0"/>
      <w:marBottom w:val="0"/>
      <w:divBdr>
        <w:top w:val="none" w:sz="0" w:space="0" w:color="auto"/>
        <w:left w:val="none" w:sz="0" w:space="0" w:color="auto"/>
        <w:bottom w:val="none" w:sz="0" w:space="0" w:color="auto"/>
        <w:right w:val="none" w:sz="0" w:space="0" w:color="auto"/>
      </w:divBdr>
      <w:divsChild>
        <w:div w:id="714624528">
          <w:marLeft w:val="0"/>
          <w:marRight w:val="0"/>
          <w:marTop w:val="0"/>
          <w:marBottom w:val="0"/>
          <w:divBdr>
            <w:top w:val="none" w:sz="0" w:space="0" w:color="auto"/>
            <w:left w:val="none" w:sz="0" w:space="0" w:color="auto"/>
            <w:bottom w:val="none" w:sz="0" w:space="0" w:color="auto"/>
            <w:right w:val="none" w:sz="0" w:space="0" w:color="auto"/>
          </w:divBdr>
          <w:divsChild>
            <w:div w:id="180440738">
              <w:marLeft w:val="0"/>
              <w:marRight w:val="0"/>
              <w:marTop w:val="0"/>
              <w:marBottom w:val="0"/>
              <w:divBdr>
                <w:top w:val="none" w:sz="0" w:space="0" w:color="auto"/>
                <w:left w:val="none" w:sz="0" w:space="0" w:color="auto"/>
                <w:bottom w:val="none" w:sz="0" w:space="0" w:color="auto"/>
                <w:right w:val="none" w:sz="0" w:space="0" w:color="auto"/>
              </w:divBdr>
            </w:div>
          </w:divsChild>
        </w:div>
        <w:div w:id="212276804">
          <w:marLeft w:val="0"/>
          <w:marRight w:val="0"/>
          <w:marTop w:val="0"/>
          <w:marBottom w:val="0"/>
          <w:divBdr>
            <w:top w:val="none" w:sz="0" w:space="0" w:color="auto"/>
            <w:left w:val="none" w:sz="0" w:space="0" w:color="auto"/>
            <w:bottom w:val="none" w:sz="0" w:space="0" w:color="auto"/>
            <w:right w:val="none" w:sz="0" w:space="0" w:color="auto"/>
          </w:divBdr>
          <w:divsChild>
            <w:div w:id="1930625611">
              <w:marLeft w:val="0"/>
              <w:marRight w:val="0"/>
              <w:marTop w:val="0"/>
              <w:marBottom w:val="0"/>
              <w:divBdr>
                <w:top w:val="none" w:sz="0" w:space="0" w:color="auto"/>
                <w:left w:val="none" w:sz="0" w:space="0" w:color="auto"/>
                <w:bottom w:val="none" w:sz="0" w:space="0" w:color="auto"/>
                <w:right w:val="none" w:sz="0" w:space="0" w:color="auto"/>
              </w:divBdr>
            </w:div>
          </w:divsChild>
        </w:div>
        <w:div w:id="2015641472">
          <w:marLeft w:val="0"/>
          <w:marRight w:val="0"/>
          <w:marTop w:val="0"/>
          <w:marBottom w:val="0"/>
          <w:divBdr>
            <w:top w:val="none" w:sz="0" w:space="0" w:color="auto"/>
            <w:left w:val="none" w:sz="0" w:space="0" w:color="auto"/>
            <w:bottom w:val="none" w:sz="0" w:space="0" w:color="auto"/>
            <w:right w:val="none" w:sz="0" w:space="0" w:color="auto"/>
          </w:divBdr>
          <w:divsChild>
            <w:div w:id="5621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4060">
      <w:bodyDiv w:val="1"/>
      <w:marLeft w:val="0"/>
      <w:marRight w:val="0"/>
      <w:marTop w:val="0"/>
      <w:marBottom w:val="0"/>
      <w:divBdr>
        <w:top w:val="none" w:sz="0" w:space="0" w:color="auto"/>
        <w:left w:val="none" w:sz="0" w:space="0" w:color="auto"/>
        <w:bottom w:val="none" w:sz="0" w:space="0" w:color="auto"/>
        <w:right w:val="none" w:sz="0" w:space="0" w:color="auto"/>
      </w:divBdr>
      <w:divsChild>
        <w:div w:id="1310936861">
          <w:marLeft w:val="0"/>
          <w:marRight w:val="0"/>
          <w:marTop w:val="0"/>
          <w:marBottom w:val="0"/>
          <w:divBdr>
            <w:top w:val="none" w:sz="0" w:space="0" w:color="auto"/>
            <w:left w:val="none" w:sz="0" w:space="0" w:color="auto"/>
            <w:bottom w:val="none" w:sz="0" w:space="0" w:color="auto"/>
            <w:right w:val="none" w:sz="0" w:space="0" w:color="auto"/>
          </w:divBdr>
        </w:div>
      </w:divsChild>
    </w:div>
    <w:div w:id="1027222519">
      <w:bodyDiv w:val="1"/>
      <w:marLeft w:val="0"/>
      <w:marRight w:val="0"/>
      <w:marTop w:val="0"/>
      <w:marBottom w:val="0"/>
      <w:divBdr>
        <w:top w:val="none" w:sz="0" w:space="0" w:color="auto"/>
        <w:left w:val="none" w:sz="0" w:space="0" w:color="auto"/>
        <w:bottom w:val="none" w:sz="0" w:space="0" w:color="auto"/>
        <w:right w:val="none" w:sz="0" w:space="0" w:color="auto"/>
      </w:divBdr>
    </w:div>
    <w:div w:id="1271738832">
      <w:bodyDiv w:val="1"/>
      <w:marLeft w:val="0"/>
      <w:marRight w:val="0"/>
      <w:marTop w:val="0"/>
      <w:marBottom w:val="0"/>
      <w:divBdr>
        <w:top w:val="none" w:sz="0" w:space="0" w:color="auto"/>
        <w:left w:val="none" w:sz="0" w:space="0" w:color="auto"/>
        <w:bottom w:val="none" w:sz="0" w:space="0" w:color="auto"/>
        <w:right w:val="none" w:sz="0" w:space="0" w:color="auto"/>
      </w:divBdr>
      <w:divsChild>
        <w:div w:id="969627016">
          <w:marLeft w:val="0"/>
          <w:marRight w:val="0"/>
          <w:marTop w:val="0"/>
          <w:marBottom w:val="0"/>
          <w:divBdr>
            <w:top w:val="none" w:sz="0" w:space="0" w:color="auto"/>
            <w:left w:val="none" w:sz="0" w:space="0" w:color="auto"/>
            <w:bottom w:val="none" w:sz="0" w:space="0" w:color="auto"/>
            <w:right w:val="none" w:sz="0" w:space="0" w:color="auto"/>
          </w:divBdr>
        </w:div>
        <w:div w:id="1401638459">
          <w:marLeft w:val="0"/>
          <w:marRight w:val="0"/>
          <w:marTop w:val="0"/>
          <w:marBottom w:val="0"/>
          <w:divBdr>
            <w:top w:val="none" w:sz="0" w:space="0" w:color="auto"/>
            <w:left w:val="none" w:sz="0" w:space="0" w:color="auto"/>
            <w:bottom w:val="none" w:sz="0" w:space="0" w:color="auto"/>
            <w:right w:val="none" w:sz="0" w:space="0" w:color="auto"/>
          </w:divBdr>
        </w:div>
        <w:div w:id="1575553925">
          <w:marLeft w:val="0"/>
          <w:marRight w:val="0"/>
          <w:marTop w:val="0"/>
          <w:marBottom w:val="0"/>
          <w:divBdr>
            <w:top w:val="none" w:sz="0" w:space="0" w:color="auto"/>
            <w:left w:val="none" w:sz="0" w:space="0" w:color="auto"/>
            <w:bottom w:val="none" w:sz="0" w:space="0" w:color="auto"/>
            <w:right w:val="none" w:sz="0" w:space="0" w:color="auto"/>
          </w:divBdr>
        </w:div>
        <w:div w:id="1912688072">
          <w:marLeft w:val="0"/>
          <w:marRight w:val="0"/>
          <w:marTop w:val="0"/>
          <w:marBottom w:val="0"/>
          <w:divBdr>
            <w:top w:val="none" w:sz="0" w:space="0" w:color="auto"/>
            <w:left w:val="none" w:sz="0" w:space="0" w:color="auto"/>
            <w:bottom w:val="none" w:sz="0" w:space="0" w:color="auto"/>
            <w:right w:val="none" w:sz="0" w:space="0" w:color="auto"/>
          </w:divBdr>
        </w:div>
        <w:div w:id="61872673">
          <w:marLeft w:val="0"/>
          <w:marRight w:val="0"/>
          <w:marTop w:val="0"/>
          <w:marBottom w:val="0"/>
          <w:divBdr>
            <w:top w:val="none" w:sz="0" w:space="0" w:color="auto"/>
            <w:left w:val="none" w:sz="0" w:space="0" w:color="auto"/>
            <w:bottom w:val="none" w:sz="0" w:space="0" w:color="auto"/>
            <w:right w:val="none" w:sz="0" w:space="0" w:color="auto"/>
          </w:divBdr>
        </w:div>
        <w:div w:id="1854488426">
          <w:marLeft w:val="0"/>
          <w:marRight w:val="0"/>
          <w:marTop w:val="0"/>
          <w:marBottom w:val="0"/>
          <w:divBdr>
            <w:top w:val="none" w:sz="0" w:space="0" w:color="auto"/>
            <w:left w:val="none" w:sz="0" w:space="0" w:color="auto"/>
            <w:bottom w:val="none" w:sz="0" w:space="0" w:color="auto"/>
            <w:right w:val="none" w:sz="0" w:space="0" w:color="auto"/>
          </w:divBdr>
        </w:div>
        <w:div w:id="1843278038">
          <w:marLeft w:val="0"/>
          <w:marRight w:val="0"/>
          <w:marTop w:val="0"/>
          <w:marBottom w:val="0"/>
          <w:divBdr>
            <w:top w:val="none" w:sz="0" w:space="0" w:color="auto"/>
            <w:left w:val="none" w:sz="0" w:space="0" w:color="auto"/>
            <w:bottom w:val="none" w:sz="0" w:space="0" w:color="auto"/>
            <w:right w:val="none" w:sz="0" w:space="0" w:color="auto"/>
          </w:divBdr>
        </w:div>
        <w:div w:id="215358972">
          <w:marLeft w:val="0"/>
          <w:marRight w:val="0"/>
          <w:marTop w:val="0"/>
          <w:marBottom w:val="0"/>
          <w:divBdr>
            <w:top w:val="none" w:sz="0" w:space="0" w:color="auto"/>
            <w:left w:val="none" w:sz="0" w:space="0" w:color="auto"/>
            <w:bottom w:val="none" w:sz="0" w:space="0" w:color="auto"/>
            <w:right w:val="none" w:sz="0" w:space="0" w:color="auto"/>
          </w:divBdr>
        </w:div>
        <w:div w:id="1319992808">
          <w:marLeft w:val="0"/>
          <w:marRight w:val="0"/>
          <w:marTop w:val="0"/>
          <w:marBottom w:val="0"/>
          <w:divBdr>
            <w:top w:val="none" w:sz="0" w:space="0" w:color="auto"/>
            <w:left w:val="none" w:sz="0" w:space="0" w:color="auto"/>
            <w:bottom w:val="none" w:sz="0" w:space="0" w:color="auto"/>
            <w:right w:val="none" w:sz="0" w:space="0" w:color="auto"/>
          </w:divBdr>
        </w:div>
        <w:div w:id="1710908267">
          <w:marLeft w:val="0"/>
          <w:marRight w:val="0"/>
          <w:marTop w:val="0"/>
          <w:marBottom w:val="0"/>
          <w:divBdr>
            <w:top w:val="none" w:sz="0" w:space="0" w:color="auto"/>
            <w:left w:val="none" w:sz="0" w:space="0" w:color="auto"/>
            <w:bottom w:val="none" w:sz="0" w:space="0" w:color="auto"/>
            <w:right w:val="none" w:sz="0" w:space="0" w:color="auto"/>
          </w:divBdr>
        </w:div>
        <w:div w:id="496962287">
          <w:marLeft w:val="0"/>
          <w:marRight w:val="0"/>
          <w:marTop w:val="0"/>
          <w:marBottom w:val="0"/>
          <w:divBdr>
            <w:top w:val="none" w:sz="0" w:space="0" w:color="auto"/>
            <w:left w:val="none" w:sz="0" w:space="0" w:color="auto"/>
            <w:bottom w:val="none" w:sz="0" w:space="0" w:color="auto"/>
            <w:right w:val="none" w:sz="0" w:space="0" w:color="auto"/>
          </w:divBdr>
        </w:div>
        <w:div w:id="49303648">
          <w:marLeft w:val="0"/>
          <w:marRight w:val="0"/>
          <w:marTop w:val="0"/>
          <w:marBottom w:val="0"/>
          <w:divBdr>
            <w:top w:val="none" w:sz="0" w:space="0" w:color="auto"/>
            <w:left w:val="none" w:sz="0" w:space="0" w:color="auto"/>
            <w:bottom w:val="none" w:sz="0" w:space="0" w:color="auto"/>
            <w:right w:val="none" w:sz="0" w:space="0" w:color="auto"/>
          </w:divBdr>
        </w:div>
        <w:div w:id="612372019">
          <w:marLeft w:val="0"/>
          <w:marRight w:val="0"/>
          <w:marTop w:val="0"/>
          <w:marBottom w:val="0"/>
          <w:divBdr>
            <w:top w:val="none" w:sz="0" w:space="0" w:color="auto"/>
            <w:left w:val="none" w:sz="0" w:space="0" w:color="auto"/>
            <w:bottom w:val="none" w:sz="0" w:space="0" w:color="auto"/>
            <w:right w:val="none" w:sz="0" w:space="0" w:color="auto"/>
          </w:divBdr>
        </w:div>
        <w:div w:id="864363154">
          <w:marLeft w:val="0"/>
          <w:marRight w:val="0"/>
          <w:marTop w:val="0"/>
          <w:marBottom w:val="0"/>
          <w:divBdr>
            <w:top w:val="none" w:sz="0" w:space="0" w:color="auto"/>
            <w:left w:val="none" w:sz="0" w:space="0" w:color="auto"/>
            <w:bottom w:val="none" w:sz="0" w:space="0" w:color="auto"/>
            <w:right w:val="none" w:sz="0" w:space="0" w:color="auto"/>
          </w:divBdr>
        </w:div>
        <w:div w:id="1281499542">
          <w:marLeft w:val="0"/>
          <w:marRight w:val="0"/>
          <w:marTop w:val="0"/>
          <w:marBottom w:val="0"/>
          <w:divBdr>
            <w:top w:val="none" w:sz="0" w:space="0" w:color="auto"/>
            <w:left w:val="none" w:sz="0" w:space="0" w:color="auto"/>
            <w:bottom w:val="none" w:sz="0" w:space="0" w:color="auto"/>
            <w:right w:val="none" w:sz="0" w:space="0" w:color="auto"/>
          </w:divBdr>
        </w:div>
        <w:div w:id="188683152">
          <w:marLeft w:val="0"/>
          <w:marRight w:val="0"/>
          <w:marTop w:val="0"/>
          <w:marBottom w:val="0"/>
          <w:divBdr>
            <w:top w:val="none" w:sz="0" w:space="0" w:color="auto"/>
            <w:left w:val="none" w:sz="0" w:space="0" w:color="auto"/>
            <w:bottom w:val="none" w:sz="0" w:space="0" w:color="auto"/>
            <w:right w:val="none" w:sz="0" w:space="0" w:color="auto"/>
          </w:divBdr>
        </w:div>
        <w:div w:id="300580129">
          <w:marLeft w:val="0"/>
          <w:marRight w:val="0"/>
          <w:marTop w:val="0"/>
          <w:marBottom w:val="0"/>
          <w:divBdr>
            <w:top w:val="none" w:sz="0" w:space="0" w:color="auto"/>
            <w:left w:val="none" w:sz="0" w:space="0" w:color="auto"/>
            <w:bottom w:val="none" w:sz="0" w:space="0" w:color="auto"/>
            <w:right w:val="none" w:sz="0" w:space="0" w:color="auto"/>
          </w:divBdr>
        </w:div>
        <w:div w:id="2076004878">
          <w:marLeft w:val="0"/>
          <w:marRight w:val="0"/>
          <w:marTop w:val="0"/>
          <w:marBottom w:val="0"/>
          <w:divBdr>
            <w:top w:val="none" w:sz="0" w:space="0" w:color="auto"/>
            <w:left w:val="none" w:sz="0" w:space="0" w:color="auto"/>
            <w:bottom w:val="none" w:sz="0" w:space="0" w:color="auto"/>
            <w:right w:val="none" w:sz="0" w:space="0" w:color="auto"/>
          </w:divBdr>
        </w:div>
        <w:div w:id="2107119077">
          <w:marLeft w:val="0"/>
          <w:marRight w:val="0"/>
          <w:marTop w:val="0"/>
          <w:marBottom w:val="0"/>
          <w:divBdr>
            <w:top w:val="none" w:sz="0" w:space="0" w:color="auto"/>
            <w:left w:val="none" w:sz="0" w:space="0" w:color="auto"/>
            <w:bottom w:val="none" w:sz="0" w:space="0" w:color="auto"/>
            <w:right w:val="none" w:sz="0" w:space="0" w:color="auto"/>
          </w:divBdr>
        </w:div>
        <w:div w:id="330760952">
          <w:marLeft w:val="0"/>
          <w:marRight w:val="0"/>
          <w:marTop w:val="0"/>
          <w:marBottom w:val="0"/>
          <w:divBdr>
            <w:top w:val="none" w:sz="0" w:space="0" w:color="auto"/>
            <w:left w:val="none" w:sz="0" w:space="0" w:color="auto"/>
            <w:bottom w:val="none" w:sz="0" w:space="0" w:color="auto"/>
            <w:right w:val="none" w:sz="0" w:space="0" w:color="auto"/>
          </w:divBdr>
        </w:div>
        <w:div w:id="1630554588">
          <w:marLeft w:val="0"/>
          <w:marRight w:val="0"/>
          <w:marTop w:val="0"/>
          <w:marBottom w:val="0"/>
          <w:divBdr>
            <w:top w:val="none" w:sz="0" w:space="0" w:color="auto"/>
            <w:left w:val="none" w:sz="0" w:space="0" w:color="auto"/>
            <w:bottom w:val="none" w:sz="0" w:space="0" w:color="auto"/>
            <w:right w:val="none" w:sz="0" w:space="0" w:color="auto"/>
          </w:divBdr>
        </w:div>
        <w:div w:id="160778551">
          <w:marLeft w:val="0"/>
          <w:marRight w:val="0"/>
          <w:marTop w:val="0"/>
          <w:marBottom w:val="0"/>
          <w:divBdr>
            <w:top w:val="none" w:sz="0" w:space="0" w:color="auto"/>
            <w:left w:val="none" w:sz="0" w:space="0" w:color="auto"/>
            <w:bottom w:val="none" w:sz="0" w:space="0" w:color="auto"/>
            <w:right w:val="none" w:sz="0" w:space="0" w:color="auto"/>
          </w:divBdr>
        </w:div>
        <w:div w:id="1486315258">
          <w:marLeft w:val="0"/>
          <w:marRight w:val="0"/>
          <w:marTop w:val="0"/>
          <w:marBottom w:val="0"/>
          <w:divBdr>
            <w:top w:val="none" w:sz="0" w:space="0" w:color="auto"/>
            <w:left w:val="none" w:sz="0" w:space="0" w:color="auto"/>
            <w:bottom w:val="none" w:sz="0" w:space="0" w:color="auto"/>
            <w:right w:val="none" w:sz="0" w:space="0" w:color="auto"/>
          </w:divBdr>
        </w:div>
        <w:div w:id="1170020405">
          <w:marLeft w:val="0"/>
          <w:marRight w:val="0"/>
          <w:marTop w:val="0"/>
          <w:marBottom w:val="0"/>
          <w:divBdr>
            <w:top w:val="none" w:sz="0" w:space="0" w:color="auto"/>
            <w:left w:val="none" w:sz="0" w:space="0" w:color="auto"/>
            <w:bottom w:val="none" w:sz="0" w:space="0" w:color="auto"/>
            <w:right w:val="none" w:sz="0" w:space="0" w:color="auto"/>
          </w:divBdr>
        </w:div>
        <w:div w:id="700278113">
          <w:marLeft w:val="0"/>
          <w:marRight w:val="0"/>
          <w:marTop w:val="0"/>
          <w:marBottom w:val="0"/>
          <w:divBdr>
            <w:top w:val="none" w:sz="0" w:space="0" w:color="auto"/>
            <w:left w:val="none" w:sz="0" w:space="0" w:color="auto"/>
            <w:bottom w:val="none" w:sz="0" w:space="0" w:color="auto"/>
            <w:right w:val="none" w:sz="0" w:space="0" w:color="auto"/>
          </w:divBdr>
        </w:div>
        <w:div w:id="1522352072">
          <w:marLeft w:val="0"/>
          <w:marRight w:val="0"/>
          <w:marTop w:val="0"/>
          <w:marBottom w:val="0"/>
          <w:divBdr>
            <w:top w:val="none" w:sz="0" w:space="0" w:color="auto"/>
            <w:left w:val="none" w:sz="0" w:space="0" w:color="auto"/>
            <w:bottom w:val="none" w:sz="0" w:space="0" w:color="auto"/>
            <w:right w:val="none" w:sz="0" w:space="0" w:color="auto"/>
          </w:divBdr>
        </w:div>
        <w:div w:id="2011760918">
          <w:marLeft w:val="0"/>
          <w:marRight w:val="0"/>
          <w:marTop w:val="0"/>
          <w:marBottom w:val="0"/>
          <w:divBdr>
            <w:top w:val="none" w:sz="0" w:space="0" w:color="auto"/>
            <w:left w:val="none" w:sz="0" w:space="0" w:color="auto"/>
            <w:bottom w:val="none" w:sz="0" w:space="0" w:color="auto"/>
            <w:right w:val="none" w:sz="0" w:space="0" w:color="auto"/>
          </w:divBdr>
        </w:div>
        <w:div w:id="175462382">
          <w:marLeft w:val="0"/>
          <w:marRight w:val="0"/>
          <w:marTop w:val="0"/>
          <w:marBottom w:val="0"/>
          <w:divBdr>
            <w:top w:val="none" w:sz="0" w:space="0" w:color="auto"/>
            <w:left w:val="none" w:sz="0" w:space="0" w:color="auto"/>
            <w:bottom w:val="none" w:sz="0" w:space="0" w:color="auto"/>
            <w:right w:val="none" w:sz="0" w:space="0" w:color="auto"/>
          </w:divBdr>
        </w:div>
        <w:div w:id="1550844700">
          <w:marLeft w:val="0"/>
          <w:marRight w:val="0"/>
          <w:marTop w:val="0"/>
          <w:marBottom w:val="0"/>
          <w:divBdr>
            <w:top w:val="none" w:sz="0" w:space="0" w:color="auto"/>
            <w:left w:val="none" w:sz="0" w:space="0" w:color="auto"/>
            <w:bottom w:val="none" w:sz="0" w:space="0" w:color="auto"/>
            <w:right w:val="none" w:sz="0" w:space="0" w:color="auto"/>
          </w:divBdr>
        </w:div>
        <w:div w:id="1208294765">
          <w:marLeft w:val="0"/>
          <w:marRight w:val="0"/>
          <w:marTop w:val="0"/>
          <w:marBottom w:val="0"/>
          <w:divBdr>
            <w:top w:val="none" w:sz="0" w:space="0" w:color="auto"/>
            <w:left w:val="none" w:sz="0" w:space="0" w:color="auto"/>
            <w:bottom w:val="none" w:sz="0" w:space="0" w:color="auto"/>
            <w:right w:val="none" w:sz="0" w:space="0" w:color="auto"/>
          </w:divBdr>
        </w:div>
        <w:div w:id="1786119235">
          <w:marLeft w:val="0"/>
          <w:marRight w:val="0"/>
          <w:marTop w:val="0"/>
          <w:marBottom w:val="0"/>
          <w:divBdr>
            <w:top w:val="none" w:sz="0" w:space="0" w:color="auto"/>
            <w:left w:val="none" w:sz="0" w:space="0" w:color="auto"/>
            <w:bottom w:val="none" w:sz="0" w:space="0" w:color="auto"/>
            <w:right w:val="none" w:sz="0" w:space="0" w:color="auto"/>
          </w:divBdr>
        </w:div>
        <w:div w:id="183175141">
          <w:marLeft w:val="0"/>
          <w:marRight w:val="0"/>
          <w:marTop w:val="0"/>
          <w:marBottom w:val="0"/>
          <w:divBdr>
            <w:top w:val="none" w:sz="0" w:space="0" w:color="auto"/>
            <w:left w:val="none" w:sz="0" w:space="0" w:color="auto"/>
            <w:bottom w:val="none" w:sz="0" w:space="0" w:color="auto"/>
            <w:right w:val="none" w:sz="0" w:space="0" w:color="auto"/>
          </w:divBdr>
        </w:div>
        <w:div w:id="1469274199">
          <w:marLeft w:val="0"/>
          <w:marRight w:val="0"/>
          <w:marTop w:val="0"/>
          <w:marBottom w:val="0"/>
          <w:divBdr>
            <w:top w:val="none" w:sz="0" w:space="0" w:color="auto"/>
            <w:left w:val="none" w:sz="0" w:space="0" w:color="auto"/>
            <w:bottom w:val="none" w:sz="0" w:space="0" w:color="auto"/>
            <w:right w:val="none" w:sz="0" w:space="0" w:color="auto"/>
          </w:divBdr>
        </w:div>
        <w:div w:id="752504831">
          <w:marLeft w:val="0"/>
          <w:marRight w:val="0"/>
          <w:marTop w:val="0"/>
          <w:marBottom w:val="0"/>
          <w:divBdr>
            <w:top w:val="none" w:sz="0" w:space="0" w:color="auto"/>
            <w:left w:val="none" w:sz="0" w:space="0" w:color="auto"/>
            <w:bottom w:val="none" w:sz="0" w:space="0" w:color="auto"/>
            <w:right w:val="none" w:sz="0" w:space="0" w:color="auto"/>
          </w:divBdr>
        </w:div>
        <w:div w:id="170485321">
          <w:marLeft w:val="0"/>
          <w:marRight w:val="0"/>
          <w:marTop w:val="0"/>
          <w:marBottom w:val="0"/>
          <w:divBdr>
            <w:top w:val="none" w:sz="0" w:space="0" w:color="auto"/>
            <w:left w:val="none" w:sz="0" w:space="0" w:color="auto"/>
            <w:bottom w:val="none" w:sz="0" w:space="0" w:color="auto"/>
            <w:right w:val="none" w:sz="0" w:space="0" w:color="auto"/>
          </w:divBdr>
        </w:div>
        <w:div w:id="540438219">
          <w:marLeft w:val="0"/>
          <w:marRight w:val="0"/>
          <w:marTop w:val="0"/>
          <w:marBottom w:val="0"/>
          <w:divBdr>
            <w:top w:val="none" w:sz="0" w:space="0" w:color="auto"/>
            <w:left w:val="none" w:sz="0" w:space="0" w:color="auto"/>
            <w:bottom w:val="none" w:sz="0" w:space="0" w:color="auto"/>
            <w:right w:val="none" w:sz="0" w:space="0" w:color="auto"/>
          </w:divBdr>
        </w:div>
        <w:div w:id="448476053">
          <w:marLeft w:val="0"/>
          <w:marRight w:val="0"/>
          <w:marTop w:val="0"/>
          <w:marBottom w:val="0"/>
          <w:divBdr>
            <w:top w:val="none" w:sz="0" w:space="0" w:color="auto"/>
            <w:left w:val="none" w:sz="0" w:space="0" w:color="auto"/>
            <w:bottom w:val="none" w:sz="0" w:space="0" w:color="auto"/>
            <w:right w:val="none" w:sz="0" w:space="0" w:color="auto"/>
          </w:divBdr>
        </w:div>
        <w:div w:id="2123720498">
          <w:marLeft w:val="0"/>
          <w:marRight w:val="0"/>
          <w:marTop w:val="0"/>
          <w:marBottom w:val="0"/>
          <w:divBdr>
            <w:top w:val="none" w:sz="0" w:space="0" w:color="auto"/>
            <w:left w:val="none" w:sz="0" w:space="0" w:color="auto"/>
            <w:bottom w:val="none" w:sz="0" w:space="0" w:color="auto"/>
            <w:right w:val="none" w:sz="0" w:space="0" w:color="auto"/>
          </w:divBdr>
        </w:div>
        <w:div w:id="2135559219">
          <w:marLeft w:val="0"/>
          <w:marRight w:val="0"/>
          <w:marTop w:val="0"/>
          <w:marBottom w:val="0"/>
          <w:divBdr>
            <w:top w:val="none" w:sz="0" w:space="0" w:color="auto"/>
            <w:left w:val="none" w:sz="0" w:space="0" w:color="auto"/>
            <w:bottom w:val="none" w:sz="0" w:space="0" w:color="auto"/>
            <w:right w:val="none" w:sz="0" w:space="0" w:color="auto"/>
          </w:divBdr>
        </w:div>
        <w:div w:id="48579003">
          <w:marLeft w:val="0"/>
          <w:marRight w:val="0"/>
          <w:marTop w:val="0"/>
          <w:marBottom w:val="0"/>
          <w:divBdr>
            <w:top w:val="none" w:sz="0" w:space="0" w:color="auto"/>
            <w:left w:val="none" w:sz="0" w:space="0" w:color="auto"/>
            <w:bottom w:val="none" w:sz="0" w:space="0" w:color="auto"/>
            <w:right w:val="none" w:sz="0" w:space="0" w:color="auto"/>
          </w:divBdr>
        </w:div>
        <w:div w:id="1323390170">
          <w:marLeft w:val="0"/>
          <w:marRight w:val="0"/>
          <w:marTop w:val="0"/>
          <w:marBottom w:val="0"/>
          <w:divBdr>
            <w:top w:val="none" w:sz="0" w:space="0" w:color="auto"/>
            <w:left w:val="none" w:sz="0" w:space="0" w:color="auto"/>
            <w:bottom w:val="none" w:sz="0" w:space="0" w:color="auto"/>
            <w:right w:val="none" w:sz="0" w:space="0" w:color="auto"/>
          </w:divBdr>
        </w:div>
      </w:divsChild>
    </w:div>
    <w:div w:id="1376154507">
      <w:bodyDiv w:val="1"/>
      <w:marLeft w:val="0"/>
      <w:marRight w:val="0"/>
      <w:marTop w:val="0"/>
      <w:marBottom w:val="0"/>
      <w:divBdr>
        <w:top w:val="none" w:sz="0" w:space="0" w:color="auto"/>
        <w:left w:val="none" w:sz="0" w:space="0" w:color="auto"/>
        <w:bottom w:val="none" w:sz="0" w:space="0" w:color="auto"/>
        <w:right w:val="none" w:sz="0" w:space="0" w:color="auto"/>
      </w:divBdr>
    </w:div>
    <w:div w:id="1446928186">
      <w:bodyDiv w:val="1"/>
      <w:marLeft w:val="0"/>
      <w:marRight w:val="0"/>
      <w:marTop w:val="0"/>
      <w:marBottom w:val="0"/>
      <w:divBdr>
        <w:top w:val="none" w:sz="0" w:space="0" w:color="auto"/>
        <w:left w:val="none" w:sz="0" w:space="0" w:color="auto"/>
        <w:bottom w:val="none" w:sz="0" w:space="0" w:color="auto"/>
        <w:right w:val="none" w:sz="0" w:space="0" w:color="auto"/>
      </w:divBdr>
      <w:divsChild>
        <w:div w:id="1127236948">
          <w:marLeft w:val="0"/>
          <w:marRight w:val="0"/>
          <w:marTop w:val="0"/>
          <w:marBottom w:val="0"/>
          <w:divBdr>
            <w:top w:val="none" w:sz="0" w:space="0" w:color="auto"/>
            <w:left w:val="none" w:sz="0" w:space="0" w:color="auto"/>
            <w:bottom w:val="none" w:sz="0" w:space="0" w:color="auto"/>
            <w:right w:val="none" w:sz="0" w:space="0" w:color="auto"/>
          </w:divBdr>
        </w:div>
      </w:divsChild>
    </w:div>
    <w:div w:id="1467356749">
      <w:bodyDiv w:val="1"/>
      <w:marLeft w:val="0"/>
      <w:marRight w:val="0"/>
      <w:marTop w:val="0"/>
      <w:marBottom w:val="0"/>
      <w:divBdr>
        <w:top w:val="none" w:sz="0" w:space="0" w:color="auto"/>
        <w:left w:val="none" w:sz="0" w:space="0" w:color="auto"/>
        <w:bottom w:val="none" w:sz="0" w:space="0" w:color="auto"/>
        <w:right w:val="none" w:sz="0" w:space="0" w:color="auto"/>
      </w:divBdr>
    </w:div>
    <w:div w:id="1526212623">
      <w:bodyDiv w:val="1"/>
      <w:marLeft w:val="0"/>
      <w:marRight w:val="0"/>
      <w:marTop w:val="0"/>
      <w:marBottom w:val="0"/>
      <w:divBdr>
        <w:top w:val="none" w:sz="0" w:space="0" w:color="auto"/>
        <w:left w:val="none" w:sz="0" w:space="0" w:color="auto"/>
        <w:bottom w:val="none" w:sz="0" w:space="0" w:color="auto"/>
        <w:right w:val="none" w:sz="0" w:space="0" w:color="auto"/>
      </w:divBdr>
    </w:div>
    <w:div w:id="1606230766">
      <w:bodyDiv w:val="1"/>
      <w:marLeft w:val="0"/>
      <w:marRight w:val="0"/>
      <w:marTop w:val="0"/>
      <w:marBottom w:val="0"/>
      <w:divBdr>
        <w:top w:val="none" w:sz="0" w:space="0" w:color="auto"/>
        <w:left w:val="none" w:sz="0" w:space="0" w:color="auto"/>
        <w:bottom w:val="none" w:sz="0" w:space="0" w:color="auto"/>
        <w:right w:val="none" w:sz="0" w:space="0" w:color="auto"/>
      </w:divBdr>
      <w:divsChild>
        <w:div w:id="792014270">
          <w:marLeft w:val="0"/>
          <w:marRight w:val="0"/>
          <w:marTop w:val="0"/>
          <w:marBottom w:val="0"/>
          <w:divBdr>
            <w:top w:val="none" w:sz="0" w:space="0" w:color="auto"/>
            <w:left w:val="none" w:sz="0" w:space="0" w:color="auto"/>
            <w:bottom w:val="none" w:sz="0" w:space="0" w:color="auto"/>
            <w:right w:val="none" w:sz="0" w:space="0" w:color="auto"/>
          </w:divBdr>
          <w:divsChild>
            <w:div w:id="6322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8927">
      <w:bodyDiv w:val="1"/>
      <w:marLeft w:val="0"/>
      <w:marRight w:val="0"/>
      <w:marTop w:val="0"/>
      <w:marBottom w:val="0"/>
      <w:divBdr>
        <w:top w:val="none" w:sz="0" w:space="0" w:color="auto"/>
        <w:left w:val="none" w:sz="0" w:space="0" w:color="auto"/>
        <w:bottom w:val="none" w:sz="0" w:space="0" w:color="auto"/>
        <w:right w:val="none" w:sz="0" w:space="0" w:color="auto"/>
      </w:divBdr>
      <w:divsChild>
        <w:div w:id="1241405829">
          <w:marLeft w:val="0"/>
          <w:marRight w:val="0"/>
          <w:marTop w:val="0"/>
          <w:marBottom w:val="0"/>
          <w:divBdr>
            <w:top w:val="none" w:sz="0" w:space="0" w:color="auto"/>
            <w:left w:val="none" w:sz="0" w:space="0" w:color="auto"/>
            <w:bottom w:val="none" w:sz="0" w:space="0" w:color="auto"/>
            <w:right w:val="none" w:sz="0" w:space="0" w:color="auto"/>
          </w:divBdr>
        </w:div>
      </w:divsChild>
    </w:div>
    <w:div w:id="1663195624">
      <w:bodyDiv w:val="1"/>
      <w:marLeft w:val="0"/>
      <w:marRight w:val="0"/>
      <w:marTop w:val="0"/>
      <w:marBottom w:val="0"/>
      <w:divBdr>
        <w:top w:val="none" w:sz="0" w:space="0" w:color="auto"/>
        <w:left w:val="none" w:sz="0" w:space="0" w:color="auto"/>
        <w:bottom w:val="none" w:sz="0" w:space="0" w:color="auto"/>
        <w:right w:val="none" w:sz="0" w:space="0" w:color="auto"/>
      </w:divBdr>
      <w:divsChild>
        <w:div w:id="1911038504">
          <w:marLeft w:val="0"/>
          <w:marRight w:val="0"/>
          <w:marTop w:val="0"/>
          <w:marBottom w:val="0"/>
          <w:divBdr>
            <w:top w:val="none" w:sz="0" w:space="0" w:color="auto"/>
            <w:left w:val="none" w:sz="0" w:space="0" w:color="auto"/>
            <w:bottom w:val="none" w:sz="0" w:space="0" w:color="auto"/>
            <w:right w:val="none" w:sz="0" w:space="0" w:color="auto"/>
          </w:divBdr>
        </w:div>
      </w:divsChild>
    </w:div>
    <w:div w:id="1665818001">
      <w:bodyDiv w:val="1"/>
      <w:marLeft w:val="0"/>
      <w:marRight w:val="0"/>
      <w:marTop w:val="0"/>
      <w:marBottom w:val="0"/>
      <w:divBdr>
        <w:top w:val="none" w:sz="0" w:space="0" w:color="auto"/>
        <w:left w:val="none" w:sz="0" w:space="0" w:color="auto"/>
        <w:bottom w:val="none" w:sz="0" w:space="0" w:color="auto"/>
        <w:right w:val="none" w:sz="0" w:space="0" w:color="auto"/>
      </w:divBdr>
      <w:divsChild>
        <w:div w:id="1721396995">
          <w:marLeft w:val="0"/>
          <w:marRight w:val="0"/>
          <w:marTop w:val="0"/>
          <w:marBottom w:val="0"/>
          <w:divBdr>
            <w:top w:val="none" w:sz="0" w:space="0" w:color="auto"/>
            <w:left w:val="none" w:sz="0" w:space="0" w:color="auto"/>
            <w:bottom w:val="none" w:sz="0" w:space="0" w:color="auto"/>
            <w:right w:val="none" w:sz="0" w:space="0" w:color="auto"/>
          </w:divBdr>
        </w:div>
      </w:divsChild>
    </w:div>
    <w:div w:id="1792287526">
      <w:bodyDiv w:val="1"/>
      <w:marLeft w:val="0"/>
      <w:marRight w:val="0"/>
      <w:marTop w:val="0"/>
      <w:marBottom w:val="0"/>
      <w:divBdr>
        <w:top w:val="none" w:sz="0" w:space="0" w:color="auto"/>
        <w:left w:val="none" w:sz="0" w:space="0" w:color="auto"/>
        <w:bottom w:val="none" w:sz="0" w:space="0" w:color="auto"/>
        <w:right w:val="none" w:sz="0" w:space="0" w:color="auto"/>
      </w:divBdr>
    </w:div>
    <w:div w:id="1983074716">
      <w:bodyDiv w:val="1"/>
      <w:marLeft w:val="0"/>
      <w:marRight w:val="0"/>
      <w:marTop w:val="0"/>
      <w:marBottom w:val="0"/>
      <w:divBdr>
        <w:top w:val="none" w:sz="0" w:space="0" w:color="auto"/>
        <w:left w:val="none" w:sz="0" w:space="0" w:color="auto"/>
        <w:bottom w:val="none" w:sz="0" w:space="0" w:color="auto"/>
        <w:right w:val="none" w:sz="0" w:space="0" w:color="auto"/>
      </w:divBdr>
    </w:div>
    <w:div w:id="2066760382">
      <w:bodyDiv w:val="1"/>
      <w:marLeft w:val="0"/>
      <w:marRight w:val="0"/>
      <w:marTop w:val="0"/>
      <w:marBottom w:val="0"/>
      <w:divBdr>
        <w:top w:val="none" w:sz="0" w:space="0" w:color="auto"/>
        <w:left w:val="none" w:sz="0" w:space="0" w:color="auto"/>
        <w:bottom w:val="none" w:sz="0" w:space="0" w:color="auto"/>
        <w:right w:val="none" w:sz="0" w:space="0" w:color="auto"/>
      </w:divBdr>
      <w:divsChild>
        <w:div w:id="1387335677">
          <w:marLeft w:val="0"/>
          <w:marRight w:val="0"/>
          <w:marTop w:val="0"/>
          <w:marBottom w:val="0"/>
          <w:divBdr>
            <w:top w:val="none" w:sz="0" w:space="0" w:color="auto"/>
            <w:left w:val="none" w:sz="0" w:space="0" w:color="auto"/>
            <w:bottom w:val="none" w:sz="0" w:space="0" w:color="auto"/>
            <w:right w:val="none" w:sz="0" w:space="0" w:color="auto"/>
          </w:divBdr>
        </w:div>
      </w:divsChild>
    </w:div>
    <w:div w:id="2077506684">
      <w:bodyDiv w:val="1"/>
      <w:marLeft w:val="0"/>
      <w:marRight w:val="0"/>
      <w:marTop w:val="0"/>
      <w:marBottom w:val="0"/>
      <w:divBdr>
        <w:top w:val="none" w:sz="0" w:space="0" w:color="auto"/>
        <w:left w:val="none" w:sz="0" w:space="0" w:color="auto"/>
        <w:bottom w:val="none" w:sz="0" w:space="0" w:color="auto"/>
        <w:right w:val="none" w:sz="0" w:space="0" w:color="auto"/>
      </w:divBdr>
    </w:div>
    <w:div w:id="2109346377">
      <w:bodyDiv w:val="1"/>
      <w:marLeft w:val="0"/>
      <w:marRight w:val="0"/>
      <w:marTop w:val="0"/>
      <w:marBottom w:val="0"/>
      <w:divBdr>
        <w:top w:val="none" w:sz="0" w:space="0" w:color="auto"/>
        <w:left w:val="none" w:sz="0" w:space="0" w:color="auto"/>
        <w:bottom w:val="none" w:sz="0" w:space="0" w:color="auto"/>
        <w:right w:val="none" w:sz="0" w:space="0" w:color="auto"/>
      </w:divBdr>
      <w:divsChild>
        <w:div w:id="170899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veloppement-durable.gouv.fr/Bonus-Malus-definitions-et-baremes.html" TargetMode="External"/><Relationship Id="rId13" Type="http://schemas.openxmlformats.org/officeDocument/2006/relationships/hyperlink" Target="http://www.auto-moto.com/actualite/environnement/volkswagen-pollution-quelles-sont-les-vraies-raisons-du-scandale-dernieres-infos-41693.html" TargetMode="External"/><Relationship Id="rId3" Type="http://schemas.openxmlformats.org/officeDocument/2006/relationships/settings" Target="settings.xml"/><Relationship Id="rId7" Type="http://schemas.openxmlformats.org/officeDocument/2006/relationships/hyperlink" Target="http://www.metronews.fr/conso/carburant-tva-taxe-carbone-combien-payez-vous-vraiment-de-taxes-sur-le-gazole-et-l-essence/mpco!9zuYKwAXokI6E/" TargetMode="External"/><Relationship Id="rId12" Type="http://schemas.openxmlformats.org/officeDocument/2006/relationships/hyperlink" Target="http://abonnes.lemonde.fr/planete/article/2015/09/23/4-questions-sur-les-normes-de-pollution-et-les-tests-sur-les-vehicules-diesel_4767859_3244.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veloppement-durable.gouv.fr/Le-credit-d-impot-transi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arlabelling.ademe.fr/chiffrescles/r/evolutionTauxCo2"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service-public.fr/particuliers/vosdroits/F3196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STER\Desktop\Nouveau%20site%20acad&#233;mique\cours_inverse\seconde\theme_3_2\ADEME_evolutionTauxCo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800">
                <a:latin typeface="+mn-lt"/>
              </a:defRPr>
            </a:pPr>
            <a:r>
              <a:rPr lang="en-US" sz="800">
                <a:latin typeface="+mn-lt"/>
              </a:rPr>
              <a:t>Évolution du taux moyen d'émission de CO</a:t>
            </a:r>
            <a:r>
              <a:rPr lang="en-US" sz="800" baseline="-25000">
                <a:latin typeface="+mn-lt"/>
              </a:rPr>
              <a:t>2</a:t>
            </a:r>
            <a:r>
              <a:rPr lang="en-US" sz="800">
                <a:latin typeface="+mn-lt"/>
              </a:rPr>
              <a:t> des voitures neuves en France</a:t>
            </a:r>
          </a:p>
        </c:rich>
      </c:tx>
    </c:title>
    <c:plotArea>
      <c:layout/>
      <c:lineChart>
        <c:grouping val="standard"/>
        <c:ser>
          <c:idx val="1"/>
          <c:order val="0"/>
          <c:tx>
            <c:strRef>
              <c:f>ADEME_export_evolutionTauxCo2!$C$1</c:f>
              <c:strCache>
                <c:ptCount val="1"/>
                <c:pt idx="0">
                  <c:v>Total  (g de CO2 / km)</c:v>
                </c:pt>
              </c:strCache>
            </c:strRef>
          </c:tx>
          <c:marker>
            <c:symbol val="square"/>
            <c:size val="3"/>
          </c:marker>
          <c:dLbls>
            <c:txPr>
              <a:bodyPr/>
              <a:lstStyle/>
              <a:p>
                <a:pPr>
                  <a:defRPr sz="600"/>
                </a:pPr>
                <a:endParaRPr lang="fr-FR"/>
              </a:p>
            </c:txPr>
            <c:dLblPos val="b"/>
            <c:showVal val="1"/>
          </c:dLbls>
          <c:cat>
            <c:numRef>
              <c:f>ADEME_export_evolutionTauxCo2!$A$2:$A$22</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ADEME_export_evolutionTauxCo2!$C$2:$C$22</c:f>
              <c:numCache>
                <c:formatCode>General</c:formatCode>
                <c:ptCount val="21"/>
                <c:pt idx="0">
                  <c:v>176</c:v>
                </c:pt>
                <c:pt idx="1">
                  <c:v>175</c:v>
                </c:pt>
                <c:pt idx="2">
                  <c:v>175</c:v>
                </c:pt>
                <c:pt idx="3">
                  <c:v>171</c:v>
                </c:pt>
                <c:pt idx="4">
                  <c:v>166</c:v>
                </c:pt>
                <c:pt idx="5">
                  <c:v>162</c:v>
                </c:pt>
                <c:pt idx="6">
                  <c:v>156</c:v>
                </c:pt>
                <c:pt idx="7">
                  <c:v>155</c:v>
                </c:pt>
                <c:pt idx="8">
                  <c:v>155</c:v>
                </c:pt>
                <c:pt idx="9">
                  <c:v>153</c:v>
                </c:pt>
                <c:pt idx="10">
                  <c:v>152</c:v>
                </c:pt>
                <c:pt idx="11">
                  <c:v>149</c:v>
                </c:pt>
                <c:pt idx="12">
                  <c:v>149</c:v>
                </c:pt>
                <c:pt idx="13">
                  <c:v>140</c:v>
                </c:pt>
                <c:pt idx="14">
                  <c:v>133</c:v>
                </c:pt>
                <c:pt idx="15">
                  <c:v>130</c:v>
                </c:pt>
                <c:pt idx="16">
                  <c:v>127</c:v>
                </c:pt>
                <c:pt idx="17">
                  <c:v>124</c:v>
                </c:pt>
                <c:pt idx="18">
                  <c:v>117</c:v>
                </c:pt>
                <c:pt idx="19">
                  <c:v>114</c:v>
                </c:pt>
                <c:pt idx="20">
                  <c:v>111</c:v>
                </c:pt>
              </c:numCache>
            </c:numRef>
          </c:val>
        </c:ser>
        <c:marker val="1"/>
        <c:axId val="90094976"/>
        <c:axId val="90109056"/>
      </c:lineChart>
      <c:catAx>
        <c:axId val="90094976"/>
        <c:scaling>
          <c:orientation val="minMax"/>
        </c:scaling>
        <c:axPos val="b"/>
        <c:numFmt formatCode="General" sourceLinked="1"/>
        <c:tickLblPos val="nextTo"/>
        <c:crossAx val="90109056"/>
        <c:crosses val="autoZero"/>
        <c:auto val="1"/>
        <c:lblAlgn val="ctr"/>
        <c:lblOffset val="100"/>
      </c:catAx>
      <c:valAx>
        <c:axId val="90109056"/>
        <c:scaling>
          <c:orientation val="minMax"/>
          <c:min val="100"/>
        </c:scaling>
        <c:axPos val="l"/>
        <c:majorGridlines/>
        <c:numFmt formatCode="General" sourceLinked="1"/>
        <c:tickLblPos val="nextTo"/>
        <c:txPr>
          <a:bodyPr/>
          <a:lstStyle/>
          <a:p>
            <a:pPr>
              <a:defRPr sz="800"/>
            </a:pPr>
            <a:endParaRPr lang="fr-FR"/>
          </a:p>
        </c:txPr>
        <c:crossAx val="90094976"/>
        <c:crosses val="autoZero"/>
        <c:crossBetween val="between"/>
      </c:valAx>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6</Pages>
  <Words>2394</Words>
  <Characters>13167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15</cp:revision>
  <cp:lastPrinted>2016-05-11T12:19:00Z</cp:lastPrinted>
  <dcterms:created xsi:type="dcterms:W3CDTF">2016-05-18T14:17:00Z</dcterms:created>
  <dcterms:modified xsi:type="dcterms:W3CDTF">2016-05-20T14:53:00Z</dcterms:modified>
</cp:coreProperties>
</file>