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C4" w:rsidRPr="000B4BC4" w:rsidRDefault="00CA7B2E" w:rsidP="000B4BC4">
      <w:pPr>
        <w:jc w:val="center"/>
        <w:rPr>
          <w:b/>
          <w:color w:val="4F81BD" w:themeColor="accent1"/>
          <w:sz w:val="32"/>
          <w:szCs w:val="32"/>
        </w:rPr>
      </w:pPr>
      <w:r>
        <w:rPr>
          <w:b/>
          <w:color w:val="4F81BD" w:themeColor="accent1"/>
          <w:sz w:val="32"/>
          <w:szCs w:val="32"/>
        </w:rPr>
        <w:t>Comment les revenus et les prix influencent-ils les choix des consommateurs</w:t>
      </w:r>
      <w:r w:rsidRPr="000B4BC4">
        <w:rPr>
          <w:b/>
          <w:color w:val="4F81BD" w:themeColor="accent1"/>
          <w:sz w:val="32"/>
          <w:szCs w:val="32"/>
        </w:rPr>
        <w:t xml:space="preserve"> ? (</w:t>
      </w:r>
      <w:r w:rsidR="006A1101">
        <w:rPr>
          <w:b/>
          <w:color w:val="4F81BD" w:themeColor="accent1"/>
          <w:sz w:val="32"/>
          <w:szCs w:val="32"/>
        </w:rPr>
        <w:t>4</w:t>
      </w:r>
      <w:r w:rsidRPr="000B4BC4">
        <w:rPr>
          <w:b/>
          <w:color w:val="4F81BD" w:themeColor="accent1"/>
          <w:sz w:val="32"/>
          <w:szCs w:val="32"/>
        </w:rPr>
        <w:t>/</w:t>
      </w:r>
      <w:r w:rsidR="005C795D">
        <w:rPr>
          <w:b/>
          <w:color w:val="4F81BD" w:themeColor="accent1"/>
          <w:sz w:val="32"/>
          <w:szCs w:val="32"/>
        </w:rPr>
        <w:t>4</w:t>
      </w:r>
      <w:r w:rsidRPr="000B4BC4">
        <w:rPr>
          <w:b/>
          <w:color w:val="4F81BD" w:themeColor="accent1"/>
          <w:sz w:val="32"/>
          <w:szCs w:val="32"/>
        </w:rPr>
        <w:t>)</w:t>
      </w:r>
    </w:p>
    <w:p w:rsidR="00214FF0" w:rsidRDefault="00214FF0" w:rsidP="000B4BC4">
      <w:pPr>
        <w:jc w:val="center"/>
        <w:rPr>
          <w:b/>
          <w:color w:val="4F81BD" w:themeColor="accent1"/>
          <w:sz w:val="32"/>
          <w:szCs w:val="32"/>
        </w:rPr>
      </w:pPr>
    </w:p>
    <w:p w:rsidR="000B4BC4" w:rsidRPr="000B4BC4" w:rsidRDefault="006A1101" w:rsidP="000B4BC4">
      <w:pPr>
        <w:jc w:val="center"/>
        <w:rPr>
          <w:b/>
          <w:color w:val="4F81BD" w:themeColor="accent1"/>
          <w:sz w:val="32"/>
          <w:szCs w:val="32"/>
        </w:rPr>
      </w:pPr>
      <w:r>
        <w:rPr>
          <w:b/>
          <w:color w:val="4F81BD" w:themeColor="accent1"/>
          <w:sz w:val="32"/>
          <w:szCs w:val="32"/>
        </w:rPr>
        <w:t>Quels sont les déterminants économiques de la consommation finale des ménages ?</w:t>
      </w:r>
    </w:p>
    <w:p w:rsidR="008F6312" w:rsidRDefault="008F6312">
      <w:pPr>
        <w:rPr>
          <w:b/>
        </w:rPr>
      </w:pPr>
    </w:p>
    <w:p w:rsidR="000B4BC4" w:rsidRDefault="000B4BC4">
      <w:pPr>
        <w:rPr>
          <w:b/>
        </w:rPr>
      </w:pPr>
      <w:r w:rsidRPr="003648B1">
        <w:rPr>
          <w:b/>
        </w:rPr>
        <w:t>Document 1</w:t>
      </w:r>
      <w:r w:rsidR="008A39FC">
        <w:rPr>
          <w:b/>
        </w:rPr>
        <w:t xml:space="preserve"> </w:t>
      </w:r>
    </w:p>
    <w:p w:rsidR="00D82BE5" w:rsidRDefault="00D82BE5">
      <w:pPr>
        <w:rPr>
          <w:noProof/>
        </w:rPr>
      </w:pPr>
    </w:p>
    <w:p w:rsidR="00D82BE5" w:rsidRDefault="00D82BE5">
      <w:pPr>
        <w:rPr>
          <w:noProof/>
        </w:rPr>
      </w:pPr>
      <w:r w:rsidRPr="00D82BE5">
        <w:rPr>
          <w:noProof/>
        </w:rPr>
        <w:drawing>
          <wp:inline distT="0" distB="0" distL="0" distR="0">
            <wp:extent cx="5759450" cy="3558172"/>
            <wp:effectExtent l="19050" t="0" r="12700" b="4178"/>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02460" w:rsidRDefault="00C02460" w:rsidP="00C02460">
      <w:pPr>
        <w:pStyle w:val="NormalWeb"/>
        <w:spacing w:before="0" w:beforeAutospacing="0" w:after="0" w:afterAutospacing="0"/>
        <w:jc w:val="right"/>
      </w:pPr>
      <w:r>
        <w:rPr>
          <w:b/>
          <w:bCs/>
          <w:i/>
          <w:iCs/>
          <w:color w:val="000000"/>
        </w:rPr>
        <w:t>Source : INSEE</w:t>
      </w:r>
      <w:r w:rsidR="00B41972">
        <w:rPr>
          <w:b/>
          <w:bCs/>
          <w:i/>
          <w:iCs/>
          <w:color w:val="000000"/>
        </w:rPr>
        <w:t xml:space="preserve">, Comptes nationaux 2016 (tableaux </w:t>
      </w:r>
      <w:hyperlink r:id="rId9" w:history="1">
        <w:r w:rsidR="00B41972" w:rsidRPr="00B41972">
          <w:rPr>
            <w:rStyle w:val="Lienhypertexte"/>
            <w:b/>
            <w:bCs/>
            <w:i/>
            <w:iCs/>
          </w:rPr>
          <w:t>2.101</w:t>
        </w:r>
      </w:hyperlink>
      <w:r w:rsidR="00B41972">
        <w:rPr>
          <w:b/>
          <w:bCs/>
          <w:i/>
          <w:iCs/>
          <w:color w:val="000000"/>
        </w:rPr>
        <w:t xml:space="preserve"> et </w:t>
      </w:r>
      <w:hyperlink r:id="rId10" w:history="1">
        <w:r w:rsidR="00B41972" w:rsidRPr="00B41972">
          <w:rPr>
            <w:rStyle w:val="Lienhypertexte"/>
            <w:b/>
            <w:bCs/>
            <w:i/>
            <w:iCs/>
          </w:rPr>
          <w:t>2.202</w:t>
        </w:r>
      </w:hyperlink>
      <w:r w:rsidR="00B41972">
        <w:rPr>
          <w:b/>
          <w:bCs/>
          <w:i/>
          <w:iCs/>
          <w:color w:val="000000"/>
        </w:rPr>
        <w:t>), mai 2017.</w:t>
      </w:r>
    </w:p>
    <w:p w:rsidR="00C02460" w:rsidRDefault="00C02460" w:rsidP="00C02460">
      <w:pPr>
        <w:pStyle w:val="NormalWeb"/>
        <w:spacing w:before="0" w:beforeAutospacing="0" w:after="0" w:afterAutospacing="0"/>
        <w:jc w:val="both"/>
        <w:textAlignment w:val="baseline"/>
        <w:rPr>
          <w:color w:val="000000"/>
          <w:sz w:val="20"/>
          <w:szCs w:val="20"/>
        </w:rPr>
      </w:pPr>
    </w:p>
    <w:p w:rsidR="00C67EB9" w:rsidRPr="00C02460" w:rsidRDefault="00C67EB9" w:rsidP="00C02460">
      <w:pPr>
        <w:pStyle w:val="NormalWeb"/>
        <w:spacing w:before="0" w:beforeAutospacing="0" w:after="0" w:afterAutospacing="0"/>
        <w:jc w:val="both"/>
        <w:textAlignment w:val="baseline"/>
        <w:rPr>
          <w:color w:val="000000"/>
          <w:sz w:val="20"/>
          <w:szCs w:val="20"/>
        </w:rPr>
      </w:pPr>
      <w:r w:rsidRPr="00C67EB9">
        <w:rPr>
          <w:b/>
          <w:color w:val="000000"/>
          <w:sz w:val="20"/>
          <w:szCs w:val="20"/>
        </w:rPr>
        <w:t>Note :</w:t>
      </w:r>
      <w:r>
        <w:rPr>
          <w:color w:val="000000"/>
          <w:sz w:val="20"/>
          <w:szCs w:val="20"/>
        </w:rPr>
        <w:t xml:space="preserve"> les € constants permettent de mesurer le pouvoir d’achat du RDB ainsi que le volume (la quantité) de biens et de services consommés.</w:t>
      </w:r>
    </w:p>
    <w:p w:rsidR="00C02460" w:rsidRDefault="00C02460" w:rsidP="00C02460">
      <w:pPr>
        <w:ind w:left="708"/>
        <w:rPr>
          <w:noProof/>
        </w:rPr>
      </w:pPr>
    </w:p>
    <w:p w:rsidR="00176994" w:rsidRDefault="00BA6A06" w:rsidP="009F2B12">
      <w:pPr>
        <w:pStyle w:val="Paragraphedeliste"/>
        <w:numPr>
          <w:ilvl w:val="0"/>
          <w:numId w:val="3"/>
        </w:numPr>
        <w:rPr>
          <w:noProof/>
        </w:rPr>
      </w:pPr>
      <w:r>
        <w:rPr>
          <w:noProof/>
        </w:rPr>
        <w:t xml:space="preserve">Faites une phrase avec les </w:t>
      </w:r>
      <w:r w:rsidR="00B41972">
        <w:rPr>
          <w:noProof/>
        </w:rPr>
        <w:t>deux</w:t>
      </w:r>
      <w:r>
        <w:rPr>
          <w:noProof/>
        </w:rPr>
        <w:t xml:space="preserve"> valeurs de l’année 195</w:t>
      </w:r>
      <w:r w:rsidR="00B41972">
        <w:rPr>
          <w:noProof/>
        </w:rPr>
        <w:t>9</w:t>
      </w:r>
      <w:r>
        <w:rPr>
          <w:noProof/>
        </w:rPr>
        <w:t>.</w:t>
      </w:r>
    </w:p>
    <w:p w:rsidR="00B260C2" w:rsidRDefault="00B260C2" w:rsidP="00086695">
      <w:pPr>
        <w:pStyle w:val="Paragraphedeliste"/>
        <w:numPr>
          <w:ilvl w:val="0"/>
          <w:numId w:val="3"/>
        </w:numPr>
      </w:pPr>
      <w:r>
        <w:t>Proposez une mesure de l’évolution du pouvoir d’achat du RDB et de la consommation finale en volume</w:t>
      </w:r>
      <w:r w:rsidR="006F2690">
        <w:t xml:space="preserve"> (c’est-à-dire en € constants)</w:t>
      </w:r>
      <w:r>
        <w:t xml:space="preserve"> entre 1959 et la dernière année disponible dans le graphique.</w:t>
      </w:r>
    </w:p>
    <w:p w:rsidR="00D82BE5" w:rsidRDefault="00D82BE5" w:rsidP="00086695">
      <w:pPr>
        <w:pStyle w:val="Paragraphedeliste"/>
        <w:numPr>
          <w:ilvl w:val="0"/>
          <w:numId w:val="3"/>
        </w:numPr>
      </w:pPr>
      <w:r>
        <w:t>Le pouvoir d’achat du RDB diminue-t-il fréquemment ?</w:t>
      </w:r>
    </w:p>
    <w:p w:rsidR="00D82BE5" w:rsidRDefault="00D82BE5" w:rsidP="00086695">
      <w:pPr>
        <w:pStyle w:val="Paragraphedeliste"/>
        <w:numPr>
          <w:ilvl w:val="0"/>
          <w:numId w:val="3"/>
        </w:numPr>
      </w:pPr>
      <w:r>
        <w:t>Comment caractériser l’évolution du pouvoir d’achat du RDB depuis 1959 ?</w:t>
      </w:r>
    </w:p>
    <w:p w:rsidR="00D82BE5" w:rsidRDefault="00D82BE5" w:rsidP="00086695">
      <w:pPr>
        <w:pStyle w:val="Paragraphedeliste"/>
        <w:numPr>
          <w:ilvl w:val="0"/>
          <w:numId w:val="3"/>
        </w:numPr>
      </w:pPr>
      <w:r>
        <w:t>Qu’en déduire quant à l’évolution de la consommation finale en volume ?</w:t>
      </w:r>
    </w:p>
    <w:p w:rsidR="00086695" w:rsidRDefault="00086695" w:rsidP="00086695">
      <w:pPr>
        <w:pStyle w:val="Paragraphedeliste"/>
        <w:numPr>
          <w:ilvl w:val="0"/>
          <w:numId w:val="3"/>
        </w:numPr>
      </w:pPr>
      <w:r w:rsidRPr="00086695">
        <w:br w:type="page"/>
      </w:r>
    </w:p>
    <w:p w:rsidR="00144695" w:rsidRPr="00144695" w:rsidRDefault="00144695" w:rsidP="00144695">
      <w:pPr>
        <w:rPr>
          <w:b/>
        </w:rPr>
      </w:pPr>
      <w:r w:rsidRPr="00144695">
        <w:rPr>
          <w:b/>
        </w:rPr>
        <w:lastRenderedPageBreak/>
        <w:t xml:space="preserve">Document </w:t>
      </w:r>
      <w:r>
        <w:rPr>
          <w:b/>
        </w:rPr>
        <w:t>2</w:t>
      </w:r>
    </w:p>
    <w:p w:rsidR="006F2690" w:rsidRDefault="006F2690" w:rsidP="006F2690">
      <w:pPr>
        <w:jc w:val="center"/>
        <w:rPr>
          <w:b/>
        </w:rPr>
      </w:pPr>
    </w:p>
    <w:p w:rsidR="006F2690" w:rsidRDefault="006F2690" w:rsidP="006F2690">
      <w:pPr>
        <w:jc w:val="center"/>
        <w:rPr>
          <w:b/>
        </w:rPr>
      </w:pPr>
      <w:r w:rsidRPr="00F106CB">
        <w:rPr>
          <w:b/>
        </w:rPr>
        <w:t>Part des dépenses de consommation finale des ménages par fonction</w:t>
      </w:r>
      <w:r>
        <w:rPr>
          <w:b/>
        </w:rPr>
        <w:t xml:space="preserve"> (en %)</w:t>
      </w:r>
    </w:p>
    <w:tbl>
      <w:tblPr>
        <w:tblW w:w="87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141"/>
        <w:gridCol w:w="1200"/>
        <w:gridCol w:w="1200"/>
        <w:gridCol w:w="1200"/>
      </w:tblGrid>
      <w:tr w:rsidR="00C67EB9" w:rsidRPr="00C67EB9" w:rsidTr="00B309A1">
        <w:trPr>
          <w:trHeight w:val="255"/>
        </w:trPr>
        <w:tc>
          <w:tcPr>
            <w:tcW w:w="5141" w:type="dxa"/>
            <w:shd w:val="clear" w:color="auto" w:fill="auto"/>
            <w:noWrap/>
            <w:vAlign w:val="bottom"/>
            <w:hideMark/>
          </w:tcPr>
          <w:p w:rsidR="00C67EB9" w:rsidRPr="00C67EB9" w:rsidRDefault="00C67EB9" w:rsidP="00B309A1">
            <w:pPr>
              <w:widowControl/>
              <w:autoSpaceDE/>
              <w:autoSpaceDN/>
              <w:adjustRightInd/>
              <w:jc w:val="center"/>
              <w:rPr>
                <w:rFonts w:cs="Times New Roman"/>
                <w:b/>
                <w:sz w:val="20"/>
                <w:szCs w:val="20"/>
              </w:rPr>
            </w:pPr>
            <w:r w:rsidRPr="00C67EB9">
              <w:rPr>
                <w:rFonts w:cs="Times New Roman"/>
                <w:b/>
                <w:sz w:val="20"/>
                <w:szCs w:val="20"/>
              </w:rPr>
              <w:t>en %</w:t>
            </w:r>
          </w:p>
        </w:tc>
        <w:tc>
          <w:tcPr>
            <w:tcW w:w="1200" w:type="dxa"/>
            <w:shd w:val="clear" w:color="auto" w:fill="auto"/>
            <w:noWrap/>
            <w:vAlign w:val="bottom"/>
            <w:hideMark/>
          </w:tcPr>
          <w:p w:rsidR="00C67EB9" w:rsidRPr="00C67EB9" w:rsidRDefault="00C67EB9" w:rsidP="00B309A1">
            <w:pPr>
              <w:widowControl/>
              <w:autoSpaceDE/>
              <w:autoSpaceDN/>
              <w:adjustRightInd/>
              <w:jc w:val="center"/>
              <w:rPr>
                <w:rFonts w:cs="Times New Roman"/>
                <w:b/>
                <w:bCs/>
                <w:sz w:val="20"/>
                <w:szCs w:val="20"/>
              </w:rPr>
            </w:pPr>
            <w:r w:rsidRPr="00C67EB9">
              <w:rPr>
                <w:rFonts w:cs="Times New Roman"/>
                <w:b/>
                <w:bCs/>
                <w:sz w:val="20"/>
                <w:szCs w:val="20"/>
              </w:rPr>
              <w:t>1959</w:t>
            </w:r>
          </w:p>
        </w:tc>
        <w:tc>
          <w:tcPr>
            <w:tcW w:w="1200" w:type="dxa"/>
            <w:shd w:val="clear" w:color="auto" w:fill="auto"/>
            <w:noWrap/>
            <w:vAlign w:val="bottom"/>
            <w:hideMark/>
          </w:tcPr>
          <w:p w:rsidR="00C67EB9" w:rsidRPr="00C67EB9" w:rsidRDefault="00C67EB9" w:rsidP="00B309A1">
            <w:pPr>
              <w:widowControl/>
              <w:autoSpaceDE/>
              <w:autoSpaceDN/>
              <w:adjustRightInd/>
              <w:jc w:val="center"/>
              <w:rPr>
                <w:rFonts w:cs="Times New Roman"/>
                <w:b/>
                <w:bCs/>
                <w:sz w:val="20"/>
                <w:szCs w:val="20"/>
              </w:rPr>
            </w:pPr>
            <w:r w:rsidRPr="00C67EB9">
              <w:rPr>
                <w:rFonts w:cs="Times New Roman"/>
                <w:b/>
                <w:bCs/>
                <w:sz w:val="20"/>
                <w:szCs w:val="20"/>
              </w:rPr>
              <w:t>1990</w:t>
            </w:r>
          </w:p>
        </w:tc>
        <w:tc>
          <w:tcPr>
            <w:tcW w:w="1200" w:type="dxa"/>
            <w:shd w:val="clear" w:color="auto" w:fill="auto"/>
            <w:noWrap/>
            <w:vAlign w:val="bottom"/>
            <w:hideMark/>
          </w:tcPr>
          <w:p w:rsidR="00C67EB9" w:rsidRPr="00C67EB9" w:rsidRDefault="00C67EB9" w:rsidP="00B309A1">
            <w:pPr>
              <w:widowControl/>
              <w:autoSpaceDE/>
              <w:autoSpaceDN/>
              <w:adjustRightInd/>
              <w:jc w:val="center"/>
              <w:rPr>
                <w:rFonts w:cs="Times New Roman"/>
                <w:b/>
                <w:bCs/>
                <w:sz w:val="20"/>
                <w:szCs w:val="20"/>
              </w:rPr>
            </w:pPr>
            <w:r w:rsidRPr="00C67EB9">
              <w:rPr>
                <w:rFonts w:cs="Times New Roman"/>
                <w:b/>
                <w:bCs/>
                <w:sz w:val="20"/>
                <w:szCs w:val="20"/>
              </w:rPr>
              <w:t>2016</w:t>
            </w:r>
          </w:p>
        </w:tc>
      </w:tr>
      <w:tr w:rsidR="00C67EB9" w:rsidRPr="00C67EB9" w:rsidTr="00B309A1">
        <w:trPr>
          <w:trHeight w:val="255"/>
        </w:trPr>
        <w:tc>
          <w:tcPr>
            <w:tcW w:w="5141" w:type="dxa"/>
            <w:shd w:val="clear" w:color="auto" w:fill="auto"/>
            <w:noWrap/>
            <w:vAlign w:val="bottom"/>
            <w:hideMark/>
          </w:tcPr>
          <w:p w:rsidR="00C67EB9" w:rsidRPr="00C67EB9" w:rsidRDefault="00C67EB9" w:rsidP="00C67EB9">
            <w:pPr>
              <w:widowControl/>
              <w:autoSpaceDE/>
              <w:autoSpaceDN/>
              <w:adjustRightInd/>
              <w:jc w:val="left"/>
              <w:rPr>
                <w:rFonts w:cs="Times New Roman"/>
                <w:sz w:val="20"/>
                <w:szCs w:val="20"/>
              </w:rPr>
            </w:pPr>
            <w:r w:rsidRPr="00C67EB9">
              <w:rPr>
                <w:rFonts w:cs="Times New Roman"/>
                <w:sz w:val="20"/>
                <w:szCs w:val="20"/>
              </w:rPr>
              <w:t>Produits alimentaires et boissons non alcoolisées</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25,8</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14,7</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13,4</w:t>
            </w:r>
          </w:p>
        </w:tc>
      </w:tr>
      <w:tr w:rsidR="00C67EB9" w:rsidRPr="00C67EB9" w:rsidTr="00B309A1">
        <w:trPr>
          <w:trHeight w:val="255"/>
        </w:trPr>
        <w:tc>
          <w:tcPr>
            <w:tcW w:w="5141" w:type="dxa"/>
            <w:shd w:val="clear" w:color="auto" w:fill="auto"/>
            <w:noWrap/>
            <w:vAlign w:val="bottom"/>
            <w:hideMark/>
          </w:tcPr>
          <w:p w:rsidR="00C67EB9" w:rsidRPr="00C67EB9" w:rsidRDefault="00C67EB9" w:rsidP="00C67EB9">
            <w:pPr>
              <w:widowControl/>
              <w:autoSpaceDE/>
              <w:autoSpaceDN/>
              <w:adjustRightInd/>
              <w:jc w:val="left"/>
              <w:rPr>
                <w:rFonts w:cs="Times New Roman"/>
                <w:sz w:val="20"/>
                <w:szCs w:val="20"/>
              </w:rPr>
            </w:pPr>
            <w:r w:rsidRPr="00C67EB9">
              <w:rPr>
                <w:rFonts w:cs="Times New Roman"/>
                <w:sz w:val="20"/>
                <w:szCs w:val="20"/>
              </w:rPr>
              <w:t>Boissons alcoolisées, tabac et stupéfiants</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7,2</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3,3</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3,5</w:t>
            </w:r>
          </w:p>
        </w:tc>
      </w:tr>
      <w:tr w:rsidR="00C67EB9" w:rsidRPr="00C67EB9" w:rsidTr="00B309A1">
        <w:trPr>
          <w:trHeight w:val="255"/>
        </w:trPr>
        <w:tc>
          <w:tcPr>
            <w:tcW w:w="5141" w:type="dxa"/>
            <w:shd w:val="clear" w:color="auto" w:fill="auto"/>
            <w:noWrap/>
            <w:vAlign w:val="bottom"/>
            <w:hideMark/>
          </w:tcPr>
          <w:p w:rsidR="00C67EB9" w:rsidRPr="00C67EB9" w:rsidRDefault="00C67EB9" w:rsidP="00C67EB9">
            <w:pPr>
              <w:widowControl/>
              <w:autoSpaceDE/>
              <w:autoSpaceDN/>
              <w:adjustRightInd/>
              <w:jc w:val="left"/>
              <w:rPr>
                <w:rFonts w:cs="Times New Roman"/>
                <w:sz w:val="20"/>
                <w:szCs w:val="20"/>
              </w:rPr>
            </w:pPr>
            <w:r w:rsidRPr="00C67EB9">
              <w:rPr>
                <w:rFonts w:cs="Times New Roman"/>
                <w:sz w:val="20"/>
                <w:szCs w:val="20"/>
              </w:rPr>
              <w:t>Articles d'habillement et chaussures</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11,7</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6,7</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3,8</w:t>
            </w:r>
          </w:p>
        </w:tc>
      </w:tr>
      <w:tr w:rsidR="00C67EB9" w:rsidRPr="00C67EB9" w:rsidTr="00B309A1">
        <w:trPr>
          <w:trHeight w:val="255"/>
        </w:trPr>
        <w:tc>
          <w:tcPr>
            <w:tcW w:w="5141" w:type="dxa"/>
            <w:shd w:val="clear" w:color="auto" w:fill="auto"/>
            <w:noWrap/>
            <w:vAlign w:val="bottom"/>
            <w:hideMark/>
          </w:tcPr>
          <w:p w:rsidR="00C67EB9" w:rsidRPr="00C67EB9" w:rsidRDefault="00C67EB9" w:rsidP="00C67EB9">
            <w:pPr>
              <w:widowControl/>
              <w:autoSpaceDE/>
              <w:autoSpaceDN/>
              <w:adjustRightInd/>
              <w:jc w:val="left"/>
              <w:rPr>
                <w:rFonts w:cs="Times New Roman"/>
                <w:sz w:val="20"/>
                <w:szCs w:val="20"/>
              </w:rPr>
            </w:pPr>
            <w:r w:rsidRPr="00C67EB9">
              <w:rPr>
                <w:rFonts w:cs="Times New Roman"/>
                <w:sz w:val="20"/>
                <w:szCs w:val="20"/>
              </w:rPr>
              <w:t>Logement, eau, gaz, électricité et autres combustibles</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11,0</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20,5</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26,2</w:t>
            </w:r>
          </w:p>
        </w:tc>
      </w:tr>
      <w:tr w:rsidR="00C67EB9" w:rsidRPr="00C67EB9" w:rsidTr="00B309A1">
        <w:trPr>
          <w:trHeight w:val="255"/>
        </w:trPr>
        <w:tc>
          <w:tcPr>
            <w:tcW w:w="5141" w:type="dxa"/>
            <w:shd w:val="clear" w:color="auto" w:fill="auto"/>
            <w:noWrap/>
            <w:vAlign w:val="bottom"/>
            <w:hideMark/>
          </w:tcPr>
          <w:p w:rsidR="00C67EB9" w:rsidRPr="00C67EB9" w:rsidRDefault="00C67EB9" w:rsidP="00C67EB9">
            <w:pPr>
              <w:widowControl/>
              <w:autoSpaceDE/>
              <w:autoSpaceDN/>
              <w:adjustRightInd/>
              <w:jc w:val="left"/>
              <w:rPr>
                <w:rFonts w:cs="Times New Roman"/>
                <w:sz w:val="20"/>
                <w:szCs w:val="20"/>
              </w:rPr>
            </w:pPr>
            <w:r w:rsidRPr="00C67EB9">
              <w:rPr>
                <w:rFonts w:cs="Times New Roman"/>
                <w:sz w:val="20"/>
                <w:szCs w:val="20"/>
              </w:rPr>
              <w:t>Meubles, articles de ménage et entretien courant du foyer</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8,5</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6,2</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4,9</w:t>
            </w:r>
          </w:p>
        </w:tc>
      </w:tr>
      <w:tr w:rsidR="00C67EB9" w:rsidRPr="00C67EB9" w:rsidTr="00B309A1">
        <w:trPr>
          <w:trHeight w:val="255"/>
        </w:trPr>
        <w:tc>
          <w:tcPr>
            <w:tcW w:w="5141" w:type="dxa"/>
            <w:shd w:val="clear" w:color="auto" w:fill="auto"/>
            <w:noWrap/>
            <w:vAlign w:val="bottom"/>
            <w:hideMark/>
          </w:tcPr>
          <w:p w:rsidR="00C67EB9" w:rsidRPr="00C67EB9" w:rsidRDefault="00C67EB9" w:rsidP="00C67EB9">
            <w:pPr>
              <w:widowControl/>
              <w:autoSpaceDE/>
              <w:autoSpaceDN/>
              <w:adjustRightInd/>
              <w:jc w:val="left"/>
              <w:rPr>
                <w:rFonts w:cs="Times New Roman"/>
                <w:sz w:val="20"/>
                <w:szCs w:val="20"/>
              </w:rPr>
            </w:pPr>
            <w:r w:rsidRPr="00C67EB9">
              <w:rPr>
                <w:rFonts w:cs="Times New Roman"/>
                <w:sz w:val="20"/>
                <w:szCs w:val="20"/>
              </w:rPr>
              <w:t>Santé</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2,4</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3,2</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4,2</w:t>
            </w:r>
          </w:p>
        </w:tc>
      </w:tr>
      <w:tr w:rsidR="00C67EB9" w:rsidRPr="00C67EB9" w:rsidTr="00B309A1">
        <w:trPr>
          <w:trHeight w:val="255"/>
        </w:trPr>
        <w:tc>
          <w:tcPr>
            <w:tcW w:w="5141" w:type="dxa"/>
            <w:shd w:val="clear" w:color="auto" w:fill="auto"/>
            <w:noWrap/>
            <w:vAlign w:val="bottom"/>
            <w:hideMark/>
          </w:tcPr>
          <w:p w:rsidR="00C67EB9" w:rsidRPr="00C67EB9" w:rsidRDefault="00C67EB9" w:rsidP="00C67EB9">
            <w:pPr>
              <w:widowControl/>
              <w:autoSpaceDE/>
              <w:autoSpaceDN/>
              <w:adjustRightInd/>
              <w:jc w:val="left"/>
              <w:rPr>
                <w:rFonts w:cs="Times New Roman"/>
                <w:sz w:val="20"/>
                <w:szCs w:val="20"/>
              </w:rPr>
            </w:pPr>
            <w:r w:rsidRPr="00C67EB9">
              <w:rPr>
                <w:rFonts w:cs="Times New Roman"/>
                <w:sz w:val="20"/>
                <w:szCs w:val="20"/>
              </w:rPr>
              <w:t>Transports</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10,3</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14,9</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13,1</w:t>
            </w:r>
          </w:p>
        </w:tc>
      </w:tr>
      <w:tr w:rsidR="00C67EB9" w:rsidRPr="00C67EB9" w:rsidTr="00B309A1">
        <w:trPr>
          <w:trHeight w:val="255"/>
        </w:trPr>
        <w:tc>
          <w:tcPr>
            <w:tcW w:w="5141" w:type="dxa"/>
            <w:shd w:val="clear" w:color="auto" w:fill="auto"/>
            <w:noWrap/>
            <w:vAlign w:val="bottom"/>
            <w:hideMark/>
          </w:tcPr>
          <w:p w:rsidR="00C67EB9" w:rsidRPr="00C67EB9" w:rsidRDefault="00C67EB9" w:rsidP="00C67EB9">
            <w:pPr>
              <w:widowControl/>
              <w:autoSpaceDE/>
              <w:autoSpaceDN/>
              <w:adjustRightInd/>
              <w:jc w:val="left"/>
              <w:rPr>
                <w:rFonts w:cs="Times New Roman"/>
                <w:sz w:val="20"/>
                <w:szCs w:val="20"/>
              </w:rPr>
            </w:pPr>
            <w:r w:rsidRPr="00C67EB9">
              <w:rPr>
                <w:rFonts w:cs="Times New Roman"/>
                <w:sz w:val="20"/>
                <w:szCs w:val="20"/>
              </w:rPr>
              <w:t>Communications</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0,6</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2,1</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2,6</w:t>
            </w:r>
          </w:p>
        </w:tc>
      </w:tr>
      <w:tr w:rsidR="00C67EB9" w:rsidRPr="00C67EB9" w:rsidTr="00B309A1">
        <w:trPr>
          <w:trHeight w:val="255"/>
        </w:trPr>
        <w:tc>
          <w:tcPr>
            <w:tcW w:w="5141" w:type="dxa"/>
            <w:shd w:val="clear" w:color="auto" w:fill="auto"/>
            <w:noWrap/>
            <w:vAlign w:val="bottom"/>
            <w:hideMark/>
          </w:tcPr>
          <w:p w:rsidR="00C67EB9" w:rsidRPr="00C67EB9" w:rsidRDefault="00C67EB9" w:rsidP="00C67EB9">
            <w:pPr>
              <w:widowControl/>
              <w:autoSpaceDE/>
              <w:autoSpaceDN/>
              <w:adjustRightInd/>
              <w:jc w:val="left"/>
              <w:rPr>
                <w:rFonts w:cs="Times New Roman"/>
                <w:sz w:val="20"/>
                <w:szCs w:val="20"/>
              </w:rPr>
            </w:pPr>
            <w:r w:rsidRPr="00C67EB9">
              <w:rPr>
                <w:rFonts w:cs="Times New Roman"/>
                <w:sz w:val="20"/>
                <w:szCs w:val="20"/>
              </w:rPr>
              <w:t>Loisirs et culture</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7,1</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8,8</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8,5</w:t>
            </w:r>
          </w:p>
        </w:tc>
      </w:tr>
      <w:tr w:rsidR="00C67EB9" w:rsidRPr="00C67EB9" w:rsidTr="00B309A1">
        <w:trPr>
          <w:trHeight w:val="255"/>
        </w:trPr>
        <w:tc>
          <w:tcPr>
            <w:tcW w:w="5141" w:type="dxa"/>
            <w:shd w:val="clear" w:color="auto" w:fill="auto"/>
            <w:noWrap/>
            <w:vAlign w:val="bottom"/>
            <w:hideMark/>
          </w:tcPr>
          <w:p w:rsidR="00C67EB9" w:rsidRPr="00C67EB9" w:rsidRDefault="00C67EB9" w:rsidP="00C67EB9">
            <w:pPr>
              <w:widowControl/>
              <w:autoSpaceDE/>
              <w:autoSpaceDN/>
              <w:adjustRightInd/>
              <w:jc w:val="left"/>
              <w:rPr>
                <w:rFonts w:cs="Times New Roman"/>
                <w:sz w:val="20"/>
                <w:szCs w:val="20"/>
              </w:rPr>
            </w:pPr>
            <w:r w:rsidRPr="00C67EB9">
              <w:rPr>
                <w:rFonts w:cs="Times New Roman"/>
                <w:sz w:val="20"/>
                <w:szCs w:val="20"/>
              </w:rPr>
              <w:t>Enseignement</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0,6</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0,6</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1,0</w:t>
            </w:r>
          </w:p>
        </w:tc>
      </w:tr>
      <w:tr w:rsidR="00C67EB9" w:rsidRPr="00C67EB9" w:rsidTr="00B309A1">
        <w:trPr>
          <w:trHeight w:val="255"/>
        </w:trPr>
        <w:tc>
          <w:tcPr>
            <w:tcW w:w="5141" w:type="dxa"/>
            <w:shd w:val="clear" w:color="auto" w:fill="auto"/>
            <w:noWrap/>
            <w:vAlign w:val="bottom"/>
            <w:hideMark/>
          </w:tcPr>
          <w:p w:rsidR="00C67EB9" w:rsidRPr="00C67EB9" w:rsidRDefault="00C67EB9" w:rsidP="00C67EB9">
            <w:pPr>
              <w:widowControl/>
              <w:autoSpaceDE/>
              <w:autoSpaceDN/>
              <w:adjustRightInd/>
              <w:jc w:val="left"/>
              <w:rPr>
                <w:rFonts w:cs="Times New Roman"/>
                <w:sz w:val="20"/>
                <w:szCs w:val="20"/>
              </w:rPr>
            </w:pPr>
            <w:r w:rsidRPr="00C67EB9">
              <w:rPr>
                <w:rFonts w:cs="Times New Roman"/>
                <w:sz w:val="20"/>
                <w:szCs w:val="20"/>
              </w:rPr>
              <w:t>Restaurants et hôtels</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6,8</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6,1</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7,0</w:t>
            </w:r>
          </w:p>
        </w:tc>
      </w:tr>
      <w:tr w:rsidR="00C67EB9" w:rsidRPr="00C67EB9" w:rsidTr="00B309A1">
        <w:trPr>
          <w:trHeight w:val="255"/>
        </w:trPr>
        <w:tc>
          <w:tcPr>
            <w:tcW w:w="5141" w:type="dxa"/>
            <w:shd w:val="clear" w:color="auto" w:fill="auto"/>
            <w:noWrap/>
            <w:vAlign w:val="bottom"/>
            <w:hideMark/>
          </w:tcPr>
          <w:p w:rsidR="00C67EB9" w:rsidRPr="00C67EB9" w:rsidRDefault="00C67EB9" w:rsidP="00C67EB9">
            <w:pPr>
              <w:widowControl/>
              <w:autoSpaceDE/>
              <w:autoSpaceDN/>
              <w:adjustRightInd/>
              <w:jc w:val="left"/>
              <w:rPr>
                <w:rFonts w:cs="Times New Roman"/>
                <w:sz w:val="20"/>
                <w:szCs w:val="20"/>
              </w:rPr>
            </w:pPr>
            <w:r w:rsidRPr="00C67EB9">
              <w:rPr>
                <w:rFonts w:cs="Times New Roman"/>
                <w:sz w:val="20"/>
                <w:szCs w:val="20"/>
              </w:rPr>
              <w:t>Biens et services divers</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8,0</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12,9</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12,0</w:t>
            </w:r>
          </w:p>
        </w:tc>
      </w:tr>
      <w:tr w:rsidR="00C67EB9" w:rsidRPr="00C67EB9" w:rsidTr="00B309A1">
        <w:trPr>
          <w:trHeight w:val="255"/>
        </w:trPr>
        <w:tc>
          <w:tcPr>
            <w:tcW w:w="5141" w:type="dxa"/>
            <w:shd w:val="clear" w:color="auto" w:fill="auto"/>
            <w:noWrap/>
            <w:vAlign w:val="bottom"/>
            <w:hideMark/>
          </w:tcPr>
          <w:p w:rsidR="00C67EB9" w:rsidRPr="00C67EB9" w:rsidRDefault="00C67EB9" w:rsidP="00C67EB9">
            <w:pPr>
              <w:widowControl/>
              <w:autoSpaceDE/>
              <w:autoSpaceDN/>
              <w:adjustRightInd/>
              <w:jc w:val="left"/>
              <w:rPr>
                <w:rFonts w:cs="Times New Roman"/>
                <w:sz w:val="20"/>
                <w:szCs w:val="20"/>
              </w:rPr>
            </w:pPr>
            <w:r w:rsidRPr="00C67EB9">
              <w:rPr>
                <w:rFonts w:cs="Times New Roman"/>
                <w:sz w:val="20"/>
                <w:szCs w:val="20"/>
              </w:rPr>
              <w:t>Total</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100,0</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100,0</w:t>
            </w:r>
          </w:p>
        </w:tc>
        <w:tc>
          <w:tcPr>
            <w:tcW w:w="1200" w:type="dxa"/>
            <w:shd w:val="clear" w:color="auto" w:fill="auto"/>
            <w:noWrap/>
            <w:vAlign w:val="bottom"/>
            <w:hideMark/>
          </w:tcPr>
          <w:p w:rsidR="00C67EB9" w:rsidRPr="00C67EB9" w:rsidRDefault="00C67EB9" w:rsidP="00C67EB9">
            <w:pPr>
              <w:widowControl/>
              <w:autoSpaceDE/>
              <w:autoSpaceDN/>
              <w:adjustRightInd/>
              <w:jc w:val="right"/>
              <w:rPr>
                <w:rFonts w:cs="Times New Roman"/>
                <w:sz w:val="20"/>
                <w:szCs w:val="20"/>
              </w:rPr>
            </w:pPr>
            <w:r w:rsidRPr="00C67EB9">
              <w:rPr>
                <w:rFonts w:cs="Times New Roman"/>
                <w:sz w:val="20"/>
                <w:szCs w:val="20"/>
              </w:rPr>
              <w:t>100,0</w:t>
            </w:r>
          </w:p>
        </w:tc>
      </w:tr>
    </w:tbl>
    <w:p w:rsidR="0052452C" w:rsidRDefault="0052452C" w:rsidP="00F75979">
      <w:pPr>
        <w:pStyle w:val="NormalWeb"/>
        <w:spacing w:before="0" w:beforeAutospacing="0" w:after="0" w:afterAutospacing="0"/>
        <w:jc w:val="right"/>
        <w:rPr>
          <w:b/>
          <w:bCs/>
          <w:i/>
          <w:iCs/>
          <w:color w:val="000000"/>
        </w:rPr>
      </w:pPr>
    </w:p>
    <w:p w:rsidR="00F75979" w:rsidRDefault="00F75979" w:rsidP="00F75979">
      <w:pPr>
        <w:pStyle w:val="NormalWeb"/>
        <w:spacing w:before="0" w:beforeAutospacing="0" w:after="0" w:afterAutospacing="0"/>
        <w:jc w:val="right"/>
        <w:rPr>
          <w:b/>
          <w:bCs/>
          <w:i/>
          <w:iCs/>
          <w:color w:val="000000"/>
        </w:rPr>
      </w:pPr>
      <w:r>
        <w:rPr>
          <w:b/>
          <w:bCs/>
          <w:i/>
          <w:iCs/>
          <w:color w:val="000000"/>
        </w:rPr>
        <w:t xml:space="preserve">Source : INSEE, Comptes nationaux 2016 (tableau </w:t>
      </w:r>
      <w:hyperlink r:id="rId11" w:history="1">
        <w:r w:rsidRPr="00B41972">
          <w:rPr>
            <w:rStyle w:val="Lienhypertexte"/>
            <w:b/>
            <w:bCs/>
            <w:i/>
            <w:iCs/>
          </w:rPr>
          <w:t>2.20</w:t>
        </w:r>
        <w:r>
          <w:rPr>
            <w:rStyle w:val="Lienhypertexte"/>
            <w:b/>
            <w:bCs/>
            <w:i/>
            <w:iCs/>
          </w:rPr>
          <w:t>1</w:t>
        </w:r>
      </w:hyperlink>
      <w:r>
        <w:rPr>
          <w:b/>
          <w:bCs/>
          <w:i/>
          <w:iCs/>
          <w:color w:val="000000"/>
        </w:rPr>
        <w:t>), mai 2017.</w:t>
      </w:r>
    </w:p>
    <w:p w:rsidR="001C3EE7" w:rsidRDefault="001C3EE7" w:rsidP="001C3EE7"/>
    <w:p w:rsidR="006F08EE" w:rsidRDefault="006F08EE" w:rsidP="006F08EE">
      <w:pPr>
        <w:pStyle w:val="Paragraphedeliste"/>
        <w:numPr>
          <w:ilvl w:val="0"/>
          <w:numId w:val="32"/>
        </w:numPr>
      </w:pPr>
      <w:r>
        <w:t>Quels sont les types de dépenses des ménages dont la part régresse dans le temps ?</w:t>
      </w:r>
    </w:p>
    <w:p w:rsidR="006F08EE" w:rsidRDefault="006F08EE" w:rsidP="006F08EE">
      <w:pPr>
        <w:pStyle w:val="Paragraphedeliste"/>
        <w:numPr>
          <w:ilvl w:val="0"/>
          <w:numId w:val="32"/>
        </w:numPr>
      </w:pPr>
      <w:r>
        <w:t>Quels sont les types de dépenses des ménages dont la part progresse dans le temps ?</w:t>
      </w:r>
    </w:p>
    <w:p w:rsidR="006F08EE" w:rsidRDefault="006F08EE" w:rsidP="006F08EE">
      <w:pPr>
        <w:pStyle w:val="Paragraphedeliste"/>
        <w:numPr>
          <w:ilvl w:val="0"/>
          <w:numId w:val="32"/>
        </w:numPr>
      </w:pPr>
      <w:r>
        <w:t>En utilisant également le document précédent, pouvez-vous vérifier la loi d’Engel ?</w:t>
      </w:r>
    </w:p>
    <w:p w:rsidR="006F08EE" w:rsidRPr="001C3EE7" w:rsidRDefault="006F08EE" w:rsidP="001C3EE7"/>
    <w:p w:rsidR="001C3EE7" w:rsidRPr="001C3EE7" w:rsidRDefault="001C3EE7" w:rsidP="001C3EE7"/>
    <w:p w:rsidR="005E2BA0" w:rsidRDefault="005E2BA0">
      <w:pPr>
        <w:widowControl/>
        <w:autoSpaceDE/>
        <w:autoSpaceDN/>
        <w:adjustRightInd/>
        <w:spacing w:after="200" w:line="276" w:lineRule="auto"/>
        <w:jc w:val="left"/>
      </w:pPr>
      <w:r>
        <w:br w:type="page"/>
      </w:r>
    </w:p>
    <w:p w:rsidR="005E2BA0" w:rsidRPr="00144695" w:rsidRDefault="005E2BA0" w:rsidP="005E2BA0">
      <w:pPr>
        <w:rPr>
          <w:b/>
        </w:rPr>
      </w:pPr>
      <w:r w:rsidRPr="00144695">
        <w:rPr>
          <w:b/>
        </w:rPr>
        <w:lastRenderedPageBreak/>
        <w:t xml:space="preserve">Document </w:t>
      </w:r>
      <w:r>
        <w:rPr>
          <w:b/>
        </w:rPr>
        <w:t>3</w:t>
      </w:r>
    </w:p>
    <w:p w:rsidR="0014578E" w:rsidRDefault="000A0059" w:rsidP="00144695">
      <w:r w:rsidRPr="000A0059">
        <w:drawing>
          <wp:inline distT="0" distB="0" distL="0" distR="0">
            <wp:extent cx="5759450" cy="3761461"/>
            <wp:effectExtent l="19050" t="0" r="12700" b="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F08EE" w:rsidRDefault="006F08EE" w:rsidP="006F08EE">
      <w:pPr>
        <w:pStyle w:val="NormalWeb"/>
        <w:spacing w:before="0" w:beforeAutospacing="0" w:after="0" w:afterAutospacing="0"/>
        <w:jc w:val="right"/>
      </w:pPr>
      <w:r>
        <w:rPr>
          <w:b/>
          <w:bCs/>
          <w:i/>
          <w:iCs/>
          <w:color w:val="000000"/>
        </w:rPr>
        <w:t xml:space="preserve">Source : Institut Gustave Roussy, </w:t>
      </w:r>
      <w:hyperlink r:id="rId13" w:history="1">
        <w:r>
          <w:rPr>
            <w:rStyle w:val="Lienhypertexte"/>
            <w:b/>
            <w:bCs/>
            <w:i/>
            <w:iCs/>
          </w:rPr>
          <w:t>Les vrais chiffres du tabac en France (tableaux 1 et 2)</w:t>
        </w:r>
      </w:hyperlink>
      <w:r>
        <w:rPr>
          <w:b/>
          <w:bCs/>
          <w:i/>
          <w:iCs/>
          <w:color w:val="000000"/>
        </w:rPr>
        <w:t>.</w:t>
      </w:r>
    </w:p>
    <w:p w:rsidR="006F08EE" w:rsidRDefault="006F08EE" w:rsidP="00144695"/>
    <w:p w:rsidR="006F08EE" w:rsidRPr="006F08EE" w:rsidRDefault="006F08EE" w:rsidP="006F08EE">
      <w:pPr>
        <w:widowControl/>
        <w:autoSpaceDE/>
        <w:autoSpaceDN/>
        <w:adjustRightInd/>
        <w:jc w:val="left"/>
        <w:rPr>
          <w:rFonts w:cs="Times New Roman"/>
          <w:szCs w:val="24"/>
        </w:rPr>
      </w:pPr>
      <w:r w:rsidRPr="006F08EE">
        <w:rPr>
          <w:rFonts w:cs="Times New Roman"/>
          <w:b/>
          <w:bCs/>
          <w:color w:val="000000"/>
          <w:sz w:val="16"/>
          <w:szCs w:val="16"/>
          <w:u w:val="single"/>
        </w:rPr>
        <w:t xml:space="preserve">Loi Veil </w:t>
      </w:r>
    </w:p>
    <w:p w:rsidR="006F08EE" w:rsidRPr="006F08EE" w:rsidRDefault="006F08EE" w:rsidP="006F08EE">
      <w:pPr>
        <w:widowControl/>
        <w:autoSpaceDE/>
        <w:autoSpaceDN/>
        <w:adjustRightInd/>
        <w:rPr>
          <w:rFonts w:cs="Times New Roman"/>
          <w:szCs w:val="24"/>
        </w:rPr>
      </w:pPr>
      <w:r w:rsidRPr="006F08EE">
        <w:rPr>
          <w:rFonts w:cs="Times New Roman"/>
          <w:color w:val="000000"/>
          <w:sz w:val="16"/>
          <w:szCs w:val="16"/>
        </w:rPr>
        <w:t xml:space="preserve">Loi du 9 juillet 1976, elle constitue le premier pas en faveur de la lutte contre le tabagisme en France. Elle instaure une règlementation de la promotion des produits du tabac, désormais limitée à la seule presse écrite, et impose la mention de l’avertissement sanitaire « abus dangereux » sur les emballages. Elle prévoit également l’instauration obligatoire d’interventions informatives sur le tabac et ses dangers dans les établissements scolaires et auprès de l’armée. Enfin, elle interdit le parrainage de manifestations sportives par les </w:t>
      </w:r>
      <w:proofErr w:type="spellStart"/>
      <w:r w:rsidRPr="006F08EE">
        <w:rPr>
          <w:rFonts w:cs="Times New Roman"/>
          <w:color w:val="000000"/>
          <w:sz w:val="16"/>
          <w:szCs w:val="16"/>
        </w:rPr>
        <w:t>cigarettiers</w:t>
      </w:r>
      <w:proofErr w:type="spellEnd"/>
      <w:r w:rsidRPr="006F08EE">
        <w:rPr>
          <w:rFonts w:cs="Times New Roman"/>
          <w:color w:val="000000"/>
          <w:sz w:val="16"/>
          <w:szCs w:val="16"/>
        </w:rPr>
        <w:t xml:space="preserve"> et l’usage de tabac « dans les lieux affectés à un usage collectif où cette pratique peut avoir des conséquences dangereuses pour la santé ».</w:t>
      </w:r>
    </w:p>
    <w:p w:rsidR="006F08EE" w:rsidRPr="006F08EE" w:rsidRDefault="006F08EE" w:rsidP="006F08EE">
      <w:pPr>
        <w:widowControl/>
        <w:autoSpaceDE/>
        <w:autoSpaceDN/>
        <w:adjustRightInd/>
        <w:rPr>
          <w:rFonts w:cs="Times New Roman"/>
          <w:szCs w:val="24"/>
        </w:rPr>
      </w:pPr>
      <w:r w:rsidRPr="006F08EE">
        <w:rPr>
          <w:rFonts w:cs="Times New Roman"/>
          <w:szCs w:val="24"/>
        </w:rPr>
        <w:t> </w:t>
      </w:r>
    </w:p>
    <w:p w:rsidR="006F08EE" w:rsidRPr="006F08EE" w:rsidRDefault="006F08EE" w:rsidP="006F08EE">
      <w:pPr>
        <w:widowControl/>
        <w:autoSpaceDE/>
        <w:autoSpaceDN/>
        <w:adjustRightInd/>
        <w:rPr>
          <w:rFonts w:cs="Times New Roman"/>
          <w:szCs w:val="24"/>
        </w:rPr>
      </w:pPr>
      <w:r w:rsidRPr="006F08EE">
        <w:rPr>
          <w:rFonts w:cs="Times New Roman"/>
          <w:b/>
          <w:bCs/>
          <w:color w:val="000000"/>
          <w:sz w:val="16"/>
          <w:szCs w:val="16"/>
          <w:u w:val="single"/>
        </w:rPr>
        <w:t>Loi Evin</w:t>
      </w:r>
    </w:p>
    <w:p w:rsidR="006F08EE" w:rsidRPr="006F08EE" w:rsidRDefault="006F08EE" w:rsidP="006F08EE">
      <w:pPr>
        <w:widowControl/>
        <w:autoSpaceDE/>
        <w:autoSpaceDN/>
        <w:adjustRightInd/>
        <w:jc w:val="left"/>
        <w:rPr>
          <w:rFonts w:cs="Times New Roman"/>
          <w:szCs w:val="24"/>
        </w:rPr>
      </w:pPr>
      <w:r w:rsidRPr="006F08EE">
        <w:rPr>
          <w:rFonts w:cs="Times New Roman"/>
          <w:color w:val="000000"/>
          <w:sz w:val="16"/>
          <w:szCs w:val="16"/>
        </w:rPr>
        <w:t>Loi du 10 janvier 1991. Elle favorise la hausse du prix des cigarettes, pose l’interdiction de fumer dans tous les locaux collectifs, interdit toute forme de promotion du tabac ainsi que la vente aux mineurs.</w:t>
      </w:r>
    </w:p>
    <w:p w:rsidR="006F08EE" w:rsidRPr="006F08EE" w:rsidRDefault="006F08EE" w:rsidP="006F08EE">
      <w:pPr>
        <w:widowControl/>
        <w:autoSpaceDE/>
        <w:autoSpaceDN/>
        <w:adjustRightInd/>
        <w:rPr>
          <w:rFonts w:cs="Times New Roman"/>
          <w:szCs w:val="24"/>
        </w:rPr>
      </w:pPr>
      <w:r w:rsidRPr="006F08EE">
        <w:rPr>
          <w:rFonts w:cs="Times New Roman"/>
          <w:szCs w:val="24"/>
        </w:rPr>
        <w:t> </w:t>
      </w:r>
    </w:p>
    <w:p w:rsidR="006F08EE" w:rsidRPr="006F08EE" w:rsidRDefault="006F08EE" w:rsidP="006F08EE">
      <w:pPr>
        <w:widowControl/>
        <w:autoSpaceDE/>
        <w:autoSpaceDN/>
        <w:adjustRightInd/>
        <w:rPr>
          <w:rFonts w:cs="Times New Roman"/>
          <w:szCs w:val="24"/>
        </w:rPr>
      </w:pPr>
      <w:r w:rsidRPr="006F08EE">
        <w:rPr>
          <w:rFonts w:cs="Times New Roman"/>
          <w:b/>
          <w:bCs/>
          <w:color w:val="000000"/>
          <w:sz w:val="16"/>
          <w:szCs w:val="16"/>
          <w:u w:val="single"/>
        </w:rPr>
        <w:t>Les plans Cancer</w:t>
      </w:r>
    </w:p>
    <w:p w:rsidR="006F08EE" w:rsidRPr="006F08EE" w:rsidRDefault="006F08EE" w:rsidP="006F08EE">
      <w:pPr>
        <w:widowControl/>
        <w:autoSpaceDE/>
        <w:autoSpaceDN/>
        <w:adjustRightInd/>
        <w:rPr>
          <w:rFonts w:cs="Times New Roman"/>
          <w:szCs w:val="24"/>
        </w:rPr>
      </w:pPr>
      <w:r w:rsidRPr="006F08EE">
        <w:rPr>
          <w:rFonts w:cs="Times New Roman"/>
          <w:color w:val="000000"/>
          <w:sz w:val="16"/>
          <w:szCs w:val="16"/>
        </w:rPr>
        <w:t>En 2002, mise en place du premier plan cancer (2003-2007), qui prévoit, entre autres, une forte augmentation du prix du tabac.</w:t>
      </w:r>
    </w:p>
    <w:p w:rsidR="006F08EE" w:rsidRPr="006F08EE" w:rsidRDefault="006F08EE" w:rsidP="006F08EE">
      <w:pPr>
        <w:widowControl/>
        <w:autoSpaceDE/>
        <w:autoSpaceDN/>
        <w:adjustRightInd/>
        <w:rPr>
          <w:rFonts w:cs="Times New Roman"/>
          <w:szCs w:val="24"/>
        </w:rPr>
      </w:pPr>
      <w:r w:rsidRPr="006F08EE">
        <w:rPr>
          <w:rFonts w:cs="Times New Roman"/>
          <w:szCs w:val="24"/>
        </w:rPr>
        <w:t> </w:t>
      </w:r>
    </w:p>
    <w:p w:rsidR="006F08EE" w:rsidRPr="006F08EE" w:rsidRDefault="006F08EE" w:rsidP="006F08EE">
      <w:pPr>
        <w:widowControl/>
        <w:autoSpaceDE/>
        <w:autoSpaceDN/>
        <w:adjustRightInd/>
        <w:rPr>
          <w:rFonts w:cs="Times New Roman"/>
          <w:szCs w:val="24"/>
        </w:rPr>
      </w:pPr>
      <w:r w:rsidRPr="006F08EE">
        <w:rPr>
          <w:rFonts w:cs="Times New Roman"/>
          <w:b/>
          <w:bCs/>
          <w:color w:val="000000"/>
          <w:sz w:val="16"/>
          <w:szCs w:val="16"/>
          <w:u w:val="single"/>
        </w:rPr>
        <w:t>Note :</w:t>
      </w:r>
    </w:p>
    <w:p w:rsidR="006F08EE" w:rsidRPr="00813AA5" w:rsidRDefault="006F08EE" w:rsidP="00813AA5">
      <w:pPr>
        <w:rPr>
          <w:sz w:val="16"/>
          <w:szCs w:val="16"/>
        </w:rPr>
      </w:pPr>
      <w:r w:rsidRPr="00813AA5">
        <w:rPr>
          <w:sz w:val="16"/>
          <w:szCs w:val="16"/>
        </w:rPr>
        <w:t>L’indice du prix du tabac est ici un indice relatif à l’indice des prix à la consommation. Il ne mesure pas l’évolution des prix du tabac, mais l’évolution de l’indice des prix du tabac par rapport à l’indice des prix en général. Si par exemple le prix du tabac augmente de 50% pour une année (on passe d’un indice 100 à un indice 150) et que l’ensemble des prix augmente de 10% (on passe d’un indice 100 à un indice 110), alors l’indice relatif du prix du tabac passe de 100 à (150/110) x 100 = 136,36</w:t>
      </w:r>
    </w:p>
    <w:p w:rsidR="00B309A1" w:rsidRPr="00813AA5" w:rsidRDefault="00B309A1" w:rsidP="00813AA5">
      <w:pPr>
        <w:rPr>
          <w:sz w:val="16"/>
          <w:szCs w:val="16"/>
        </w:rPr>
      </w:pPr>
      <w:r w:rsidRPr="00813AA5">
        <w:rPr>
          <w:sz w:val="16"/>
          <w:szCs w:val="16"/>
        </w:rPr>
        <w:t>Une baisse de l’indice du prix relatif du tabac signifie donc que le prix du tabac augmente moins vite que l’indice des prix à la consommation.</w:t>
      </w:r>
    </w:p>
    <w:p w:rsidR="006F08EE" w:rsidRPr="00813AA5" w:rsidRDefault="00B309A1" w:rsidP="00813AA5">
      <w:pPr>
        <w:rPr>
          <w:sz w:val="16"/>
          <w:szCs w:val="16"/>
        </w:rPr>
      </w:pPr>
      <w:r w:rsidRPr="00813AA5">
        <w:rPr>
          <w:sz w:val="16"/>
          <w:szCs w:val="16"/>
        </w:rPr>
        <w:t>À l’inverse, une augmentation de l’indice du prix relatif du tabac signifie que le prix du tabac augmente plus vite que l’indice des prix à la consommation.</w:t>
      </w:r>
    </w:p>
    <w:p w:rsidR="006F08EE" w:rsidRPr="006F08EE" w:rsidRDefault="006F08EE" w:rsidP="006F08EE">
      <w:pPr>
        <w:widowControl/>
        <w:autoSpaceDE/>
        <w:autoSpaceDN/>
        <w:adjustRightInd/>
        <w:rPr>
          <w:rFonts w:cs="Times New Roman"/>
          <w:szCs w:val="24"/>
        </w:rPr>
      </w:pPr>
    </w:p>
    <w:p w:rsidR="006F08EE" w:rsidRPr="006F08EE" w:rsidRDefault="006F08EE" w:rsidP="006F08EE">
      <w:pPr>
        <w:pStyle w:val="Paragraphedeliste"/>
        <w:numPr>
          <w:ilvl w:val="0"/>
          <w:numId w:val="31"/>
        </w:numPr>
      </w:pPr>
      <w:r w:rsidRPr="006F08EE">
        <w:t>À quelle date le prix relatif du tabac commence-t-il à croître ?</w:t>
      </w:r>
    </w:p>
    <w:p w:rsidR="006F08EE" w:rsidRPr="006F08EE" w:rsidRDefault="006F08EE" w:rsidP="006F08EE">
      <w:pPr>
        <w:pStyle w:val="Paragraphedeliste"/>
        <w:numPr>
          <w:ilvl w:val="0"/>
          <w:numId w:val="31"/>
        </w:numPr>
      </w:pPr>
      <w:r w:rsidRPr="006F08EE">
        <w:t xml:space="preserve">Calculez l’évolution du prix </w:t>
      </w:r>
      <w:r w:rsidR="00B309A1">
        <w:t xml:space="preserve">relatif </w:t>
      </w:r>
      <w:r w:rsidRPr="006F08EE">
        <w:t>du tabac depuis cette date jusqu’à la dernière année disponible</w:t>
      </w:r>
    </w:p>
    <w:p w:rsidR="006F08EE" w:rsidRPr="006F08EE" w:rsidRDefault="006F08EE" w:rsidP="006F08EE">
      <w:pPr>
        <w:pStyle w:val="Paragraphedeliste"/>
        <w:numPr>
          <w:ilvl w:val="0"/>
          <w:numId w:val="31"/>
        </w:numPr>
      </w:pPr>
      <w:r w:rsidRPr="006F08EE">
        <w:t>Pouvez-vous observer sur le graphique une relation entre l’évolution du prix relatif du tabac et l’évolution de la consommation de tabac ?</w:t>
      </w:r>
    </w:p>
    <w:p w:rsidR="006F08EE" w:rsidRPr="006F08EE" w:rsidRDefault="006F08EE" w:rsidP="006F08EE">
      <w:pPr>
        <w:pStyle w:val="Paragraphedeliste"/>
        <w:numPr>
          <w:ilvl w:val="0"/>
          <w:numId w:val="31"/>
        </w:numPr>
      </w:pPr>
      <w:r w:rsidRPr="006F08EE">
        <w:t>L’augmentation du prix relatif du tabac est-elle la seule arme utilisée pour lutter contre la consommation de tabac en France ?</w:t>
      </w:r>
    </w:p>
    <w:p w:rsidR="003A5FEC" w:rsidRDefault="003A5FEC">
      <w:pPr>
        <w:widowControl/>
        <w:autoSpaceDE/>
        <w:autoSpaceDN/>
        <w:adjustRightInd/>
        <w:spacing w:after="200" w:line="276" w:lineRule="auto"/>
        <w:jc w:val="left"/>
      </w:pPr>
      <w:r>
        <w:br w:type="page"/>
      </w:r>
    </w:p>
    <w:p w:rsidR="003A5FEC" w:rsidRPr="00144695" w:rsidRDefault="003A5FEC" w:rsidP="003A5FEC">
      <w:pPr>
        <w:rPr>
          <w:b/>
        </w:rPr>
      </w:pPr>
      <w:r w:rsidRPr="00144695">
        <w:rPr>
          <w:b/>
        </w:rPr>
        <w:lastRenderedPageBreak/>
        <w:t xml:space="preserve">Document </w:t>
      </w:r>
      <w:r>
        <w:rPr>
          <w:b/>
        </w:rPr>
        <w:t>4</w:t>
      </w:r>
    </w:p>
    <w:p w:rsidR="00A542F8" w:rsidRDefault="00A542F8" w:rsidP="00A542F8">
      <w:pPr>
        <w:jc w:val="center"/>
        <w:rPr>
          <w:b/>
        </w:rPr>
      </w:pPr>
      <w:r w:rsidRPr="00724D3B">
        <w:rPr>
          <w:rFonts w:cs="Times New Roman"/>
          <w:b/>
        </w:rPr>
        <w:t>É</w:t>
      </w:r>
      <w:r w:rsidRPr="00724D3B">
        <w:rPr>
          <w:b/>
        </w:rPr>
        <w:t>volution des indices de prix par type</w:t>
      </w:r>
      <w:r>
        <w:rPr>
          <w:b/>
        </w:rPr>
        <w:t>s</w:t>
      </w:r>
      <w:r w:rsidRPr="00724D3B">
        <w:rPr>
          <w:b/>
        </w:rPr>
        <w:t xml:space="preserve"> de dépense</w:t>
      </w:r>
      <w:r>
        <w:rPr>
          <w:b/>
        </w:rPr>
        <w:t>s</w:t>
      </w:r>
    </w:p>
    <w:tbl>
      <w:tblPr>
        <w:tblW w:w="7300"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00"/>
        <w:gridCol w:w="1200"/>
        <w:gridCol w:w="1200"/>
      </w:tblGrid>
      <w:tr w:rsidR="008F2724" w:rsidRPr="008F2724" w:rsidTr="008F2724">
        <w:trPr>
          <w:trHeight w:val="255"/>
          <w:jc w:val="center"/>
        </w:trPr>
        <w:tc>
          <w:tcPr>
            <w:tcW w:w="4900" w:type="dxa"/>
            <w:shd w:val="clear" w:color="auto" w:fill="auto"/>
            <w:noWrap/>
            <w:vAlign w:val="center"/>
            <w:hideMark/>
          </w:tcPr>
          <w:p w:rsidR="008F2724" w:rsidRPr="008F2724" w:rsidRDefault="008F2724" w:rsidP="008F2724">
            <w:pPr>
              <w:widowControl/>
              <w:autoSpaceDE/>
              <w:autoSpaceDN/>
              <w:adjustRightInd/>
              <w:jc w:val="center"/>
              <w:rPr>
                <w:rFonts w:cs="Times New Roman"/>
                <w:b/>
                <w:sz w:val="20"/>
                <w:szCs w:val="20"/>
              </w:rPr>
            </w:pPr>
            <w:r w:rsidRPr="008F2724">
              <w:rPr>
                <w:rFonts w:cs="Times New Roman"/>
                <w:b/>
                <w:sz w:val="20"/>
                <w:szCs w:val="20"/>
              </w:rPr>
              <w:t>Types de dépenses</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b/>
                <w:bCs/>
                <w:sz w:val="20"/>
                <w:szCs w:val="20"/>
              </w:rPr>
            </w:pPr>
            <w:r w:rsidRPr="008F2724">
              <w:rPr>
                <w:rFonts w:cs="Times New Roman"/>
                <w:b/>
                <w:bCs/>
                <w:sz w:val="20"/>
                <w:szCs w:val="20"/>
              </w:rPr>
              <w:t>1990</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b/>
                <w:bCs/>
                <w:sz w:val="20"/>
                <w:szCs w:val="20"/>
              </w:rPr>
            </w:pPr>
            <w:r w:rsidRPr="008F2724">
              <w:rPr>
                <w:rFonts w:cs="Times New Roman"/>
                <w:b/>
                <w:bCs/>
                <w:sz w:val="20"/>
                <w:szCs w:val="20"/>
              </w:rPr>
              <w:t>2016</w:t>
            </w:r>
          </w:p>
        </w:tc>
      </w:tr>
      <w:tr w:rsidR="008F2724" w:rsidRPr="008F2724" w:rsidTr="008F2724">
        <w:trPr>
          <w:trHeight w:val="255"/>
          <w:jc w:val="center"/>
        </w:trPr>
        <w:tc>
          <w:tcPr>
            <w:tcW w:w="4900" w:type="dxa"/>
            <w:shd w:val="clear" w:color="auto" w:fill="auto"/>
            <w:vAlign w:val="center"/>
            <w:hideMark/>
          </w:tcPr>
          <w:p w:rsidR="008F2724" w:rsidRPr="008F2724" w:rsidRDefault="008F2724" w:rsidP="008F2724">
            <w:pPr>
              <w:widowControl/>
              <w:autoSpaceDE/>
              <w:autoSpaceDN/>
              <w:adjustRightInd/>
              <w:jc w:val="left"/>
              <w:rPr>
                <w:rFonts w:cs="Times New Roman"/>
                <w:sz w:val="20"/>
                <w:szCs w:val="20"/>
              </w:rPr>
            </w:pPr>
            <w:r w:rsidRPr="008F2724">
              <w:rPr>
                <w:rFonts w:cs="Times New Roman"/>
                <w:sz w:val="20"/>
                <w:szCs w:val="20"/>
              </w:rPr>
              <w:t>Ensemble</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100,0</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148,6</w:t>
            </w:r>
          </w:p>
        </w:tc>
      </w:tr>
      <w:tr w:rsidR="008F2724" w:rsidRPr="008F2724" w:rsidTr="008F2724">
        <w:trPr>
          <w:trHeight w:val="255"/>
          <w:jc w:val="center"/>
        </w:trPr>
        <w:tc>
          <w:tcPr>
            <w:tcW w:w="4900" w:type="dxa"/>
            <w:shd w:val="clear" w:color="auto" w:fill="auto"/>
            <w:vAlign w:val="center"/>
            <w:hideMark/>
          </w:tcPr>
          <w:p w:rsidR="008F2724" w:rsidRPr="008F2724" w:rsidRDefault="008F2724" w:rsidP="008F2724">
            <w:pPr>
              <w:widowControl/>
              <w:autoSpaceDE/>
              <w:autoSpaceDN/>
              <w:adjustRightInd/>
              <w:jc w:val="left"/>
              <w:rPr>
                <w:rFonts w:cs="Times New Roman"/>
                <w:sz w:val="20"/>
                <w:szCs w:val="20"/>
              </w:rPr>
            </w:pPr>
            <w:r w:rsidRPr="008F2724">
              <w:rPr>
                <w:rFonts w:cs="Times New Roman"/>
                <w:sz w:val="20"/>
                <w:szCs w:val="20"/>
              </w:rPr>
              <w:t>Produits alimentaires et boissons non alcoolisées</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100,0</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146,1</w:t>
            </w:r>
          </w:p>
        </w:tc>
      </w:tr>
      <w:tr w:rsidR="008F2724" w:rsidRPr="008F2724" w:rsidTr="008F2724">
        <w:trPr>
          <w:trHeight w:val="255"/>
          <w:jc w:val="center"/>
        </w:trPr>
        <w:tc>
          <w:tcPr>
            <w:tcW w:w="4900" w:type="dxa"/>
            <w:shd w:val="clear" w:color="auto" w:fill="auto"/>
            <w:vAlign w:val="center"/>
            <w:hideMark/>
          </w:tcPr>
          <w:p w:rsidR="008F2724" w:rsidRPr="008F2724" w:rsidRDefault="008F2724" w:rsidP="008F2724">
            <w:pPr>
              <w:widowControl/>
              <w:autoSpaceDE/>
              <w:autoSpaceDN/>
              <w:adjustRightInd/>
              <w:jc w:val="left"/>
              <w:rPr>
                <w:rFonts w:cs="Times New Roman"/>
                <w:sz w:val="20"/>
                <w:szCs w:val="20"/>
              </w:rPr>
            </w:pPr>
            <w:r w:rsidRPr="008F2724">
              <w:rPr>
                <w:rFonts w:cs="Times New Roman"/>
                <w:sz w:val="20"/>
                <w:szCs w:val="20"/>
              </w:rPr>
              <w:t>Boissons alcoolisées, tabac et stupéfiants</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100,0</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287,8</w:t>
            </w:r>
          </w:p>
        </w:tc>
      </w:tr>
      <w:tr w:rsidR="008F2724" w:rsidRPr="008F2724" w:rsidTr="008F2724">
        <w:trPr>
          <w:trHeight w:val="255"/>
          <w:jc w:val="center"/>
        </w:trPr>
        <w:tc>
          <w:tcPr>
            <w:tcW w:w="4900" w:type="dxa"/>
            <w:shd w:val="clear" w:color="auto" w:fill="auto"/>
            <w:vAlign w:val="center"/>
            <w:hideMark/>
          </w:tcPr>
          <w:p w:rsidR="008F2724" w:rsidRPr="008F2724" w:rsidRDefault="008F2724" w:rsidP="008F2724">
            <w:pPr>
              <w:widowControl/>
              <w:autoSpaceDE/>
              <w:autoSpaceDN/>
              <w:adjustRightInd/>
              <w:jc w:val="left"/>
              <w:rPr>
                <w:rFonts w:cs="Times New Roman"/>
                <w:sz w:val="20"/>
                <w:szCs w:val="20"/>
              </w:rPr>
            </w:pPr>
            <w:r w:rsidRPr="008F2724">
              <w:rPr>
                <w:rFonts w:cs="Times New Roman"/>
                <w:sz w:val="20"/>
                <w:szCs w:val="20"/>
              </w:rPr>
              <w:t>Articles d'habillement et chaussures</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100,0</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117,4</w:t>
            </w:r>
          </w:p>
        </w:tc>
      </w:tr>
      <w:tr w:rsidR="008F2724" w:rsidRPr="008F2724" w:rsidTr="008F2724">
        <w:trPr>
          <w:trHeight w:val="255"/>
          <w:jc w:val="center"/>
        </w:trPr>
        <w:tc>
          <w:tcPr>
            <w:tcW w:w="4900" w:type="dxa"/>
            <w:shd w:val="clear" w:color="auto" w:fill="auto"/>
            <w:vAlign w:val="center"/>
            <w:hideMark/>
          </w:tcPr>
          <w:p w:rsidR="008F2724" w:rsidRPr="008F2724" w:rsidRDefault="008F2724" w:rsidP="008F2724">
            <w:pPr>
              <w:widowControl/>
              <w:autoSpaceDE/>
              <w:autoSpaceDN/>
              <w:adjustRightInd/>
              <w:jc w:val="left"/>
              <w:rPr>
                <w:rFonts w:cs="Times New Roman"/>
                <w:sz w:val="20"/>
                <w:szCs w:val="20"/>
              </w:rPr>
            </w:pPr>
            <w:r w:rsidRPr="008F2724">
              <w:rPr>
                <w:rFonts w:cs="Times New Roman"/>
                <w:sz w:val="20"/>
                <w:szCs w:val="20"/>
              </w:rPr>
              <w:t>Logement, eau, gaz, électricité et autres combustibles</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100,0</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186,3</w:t>
            </w:r>
          </w:p>
        </w:tc>
      </w:tr>
      <w:tr w:rsidR="008F2724" w:rsidRPr="008F2724" w:rsidTr="008F2724">
        <w:trPr>
          <w:trHeight w:val="255"/>
          <w:jc w:val="center"/>
        </w:trPr>
        <w:tc>
          <w:tcPr>
            <w:tcW w:w="4900" w:type="dxa"/>
            <w:shd w:val="clear" w:color="auto" w:fill="auto"/>
            <w:vAlign w:val="center"/>
            <w:hideMark/>
          </w:tcPr>
          <w:p w:rsidR="008F2724" w:rsidRPr="008F2724" w:rsidRDefault="008F2724" w:rsidP="008F2724">
            <w:pPr>
              <w:widowControl/>
              <w:autoSpaceDE/>
              <w:autoSpaceDN/>
              <w:adjustRightInd/>
              <w:jc w:val="left"/>
              <w:rPr>
                <w:rFonts w:cs="Times New Roman"/>
                <w:sz w:val="20"/>
                <w:szCs w:val="20"/>
              </w:rPr>
            </w:pPr>
            <w:r w:rsidRPr="008F2724">
              <w:rPr>
                <w:rFonts w:cs="Times New Roman"/>
                <w:sz w:val="20"/>
                <w:szCs w:val="20"/>
              </w:rPr>
              <w:t>Meubles, articles de ménage et entretien courant du foyer</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100,0</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133,9</w:t>
            </w:r>
          </w:p>
        </w:tc>
      </w:tr>
      <w:tr w:rsidR="008F2724" w:rsidRPr="008F2724" w:rsidTr="008F2724">
        <w:trPr>
          <w:trHeight w:val="255"/>
          <w:jc w:val="center"/>
        </w:trPr>
        <w:tc>
          <w:tcPr>
            <w:tcW w:w="4900" w:type="dxa"/>
            <w:shd w:val="clear" w:color="auto" w:fill="auto"/>
            <w:vAlign w:val="center"/>
            <w:hideMark/>
          </w:tcPr>
          <w:p w:rsidR="008F2724" w:rsidRPr="008F2724" w:rsidRDefault="008F2724" w:rsidP="008F2724">
            <w:pPr>
              <w:widowControl/>
              <w:autoSpaceDE/>
              <w:autoSpaceDN/>
              <w:adjustRightInd/>
              <w:jc w:val="left"/>
              <w:rPr>
                <w:rFonts w:cs="Times New Roman"/>
                <w:sz w:val="20"/>
                <w:szCs w:val="20"/>
              </w:rPr>
            </w:pPr>
            <w:r w:rsidRPr="008F2724">
              <w:rPr>
                <w:rFonts w:cs="Times New Roman"/>
                <w:sz w:val="20"/>
                <w:szCs w:val="20"/>
              </w:rPr>
              <w:t>Santé</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100,0</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106,4</w:t>
            </w:r>
          </w:p>
        </w:tc>
      </w:tr>
      <w:tr w:rsidR="008F2724" w:rsidRPr="008F2724" w:rsidTr="008F2724">
        <w:trPr>
          <w:trHeight w:val="255"/>
          <w:jc w:val="center"/>
        </w:trPr>
        <w:tc>
          <w:tcPr>
            <w:tcW w:w="4900" w:type="dxa"/>
            <w:shd w:val="clear" w:color="auto" w:fill="auto"/>
            <w:vAlign w:val="center"/>
            <w:hideMark/>
          </w:tcPr>
          <w:p w:rsidR="008F2724" w:rsidRPr="008F2724" w:rsidRDefault="008F2724" w:rsidP="008F2724">
            <w:pPr>
              <w:widowControl/>
              <w:autoSpaceDE/>
              <w:autoSpaceDN/>
              <w:adjustRightInd/>
              <w:jc w:val="left"/>
              <w:rPr>
                <w:rFonts w:cs="Times New Roman"/>
                <w:sz w:val="20"/>
                <w:szCs w:val="20"/>
              </w:rPr>
            </w:pPr>
            <w:r w:rsidRPr="008F2724">
              <w:rPr>
                <w:rFonts w:cs="Times New Roman"/>
                <w:sz w:val="20"/>
                <w:szCs w:val="20"/>
              </w:rPr>
              <w:t>Transports</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100,0</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168,9</w:t>
            </w:r>
          </w:p>
        </w:tc>
      </w:tr>
      <w:tr w:rsidR="008F2724" w:rsidRPr="008F2724" w:rsidTr="008F2724">
        <w:trPr>
          <w:trHeight w:val="255"/>
          <w:jc w:val="center"/>
        </w:trPr>
        <w:tc>
          <w:tcPr>
            <w:tcW w:w="4900" w:type="dxa"/>
            <w:shd w:val="clear" w:color="auto" w:fill="auto"/>
            <w:vAlign w:val="center"/>
            <w:hideMark/>
          </w:tcPr>
          <w:p w:rsidR="008F2724" w:rsidRPr="008F2724" w:rsidRDefault="008F2724" w:rsidP="008F2724">
            <w:pPr>
              <w:widowControl/>
              <w:autoSpaceDE/>
              <w:autoSpaceDN/>
              <w:adjustRightInd/>
              <w:jc w:val="left"/>
              <w:rPr>
                <w:rFonts w:cs="Times New Roman"/>
                <w:sz w:val="20"/>
                <w:szCs w:val="20"/>
              </w:rPr>
            </w:pPr>
            <w:r w:rsidRPr="008F2724">
              <w:rPr>
                <w:rFonts w:cs="Times New Roman"/>
                <w:sz w:val="20"/>
                <w:szCs w:val="20"/>
              </w:rPr>
              <w:t>Communications</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100,0</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63,2</w:t>
            </w:r>
          </w:p>
        </w:tc>
      </w:tr>
      <w:tr w:rsidR="008F2724" w:rsidRPr="008F2724" w:rsidTr="008F2724">
        <w:trPr>
          <w:trHeight w:val="255"/>
          <w:jc w:val="center"/>
        </w:trPr>
        <w:tc>
          <w:tcPr>
            <w:tcW w:w="4900" w:type="dxa"/>
            <w:shd w:val="clear" w:color="auto" w:fill="auto"/>
            <w:vAlign w:val="center"/>
            <w:hideMark/>
          </w:tcPr>
          <w:p w:rsidR="008F2724" w:rsidRPr="008F2724" w:rsidRDefault="008F2724" w:rsidP="008F2724">
            <w:pPr>
              <w:widowControl/>
              <w:autoSpaceDE/>
              <w:autoSpaceDN/>
              <w:adjustRightInd/>
              <w:jc w:val="left"/>
              <w:rPr>
                <w:rFonts w:cs="Times New Roman"/>
                <w:sz w:val="20"/>
                <w:szCs w:val="20"/>
              </w:rPr>
            </w:pPr>
            <w:r w:rsidRPr="008F2724">
              <w:rPr>
                <w:rFonts w:cs="Times New Roman"/>
                <w:sz w:val="20"/>
                <w:szCs w:val="20"/>
              </w:rPr>
              <w:t>Loisirs et culture</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100,0</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99,2</w:t>
            </w:r>
          </w:p>
        </w:tc>
      </w:tr>
      <w:tr w:rsidR="008F2724" w:rsidRPr="008F2724" w:rsidTr="008F2724">
        <w:trPr>
          <w:trHeight w:val="255"/>
          <w:jc w:val="center"/>
        </w:trPr>
        <w:tc>
          <w:tcPr>
            <w:tcW w:w="4900" w:type="dxa"/>
            <w:shd w:val="clear" w:color="auto" w:fill="auto"/>
            <w:vAlign w:val="center"/>
            <w:hideMark/>
          </w:tcPr>
          <w:p w:rsidR="008F2724" w:rsidRPr="008F2724" w:rsidRDefault="008F2724" w:rsidP="008F2724">
            <w:pPr>
              <w:widowControl/>
              <w:autoSpaceDE/>
              <w:autoSpaceDN/>
              <w:adjustRightInd/>
              <w:jc w:val="left"/>
              <w:rPr>
                <w:rFonts w:cs="Times New Roman"/>
                <w:sz w:val="20"/>
                <w:szCs w:val="20"/>
              </w:rPr>
            </w:pPr>
            <w:r w:rsidRPr="008F2724">
              <w:rPr>
                <w:rFonts w:cs="Times New Roman"/>
                <w:sz w:val="20"/>
                <w:szCs w:val="20"/>
              </w:rPr>
              <w:t>Enseignement</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100,0</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182,9</w:t>
            </w:r>
          </w:p>
        </w:tc>
      </w:tr>
      <w:tr w:rsidR="008F2724" w:rsidRPr="008F2724" w:rsidTr="008F2724">
        <w:trPr>
          <w:trHeight w:val="255"/>
          <w:jc w:val="center"/>
        </w:trPr>
        <w:tc>
          <w:tcPr>
            <w:tcW w:w="4900" w:type="dxa"/>
            <w:shd w:val="clear" w:color="auto" w:fill="auto"/>
            <w:vAlign w:val="center"/>
            <w:hideMark/>
          </w:tcPr>
          <w:p w:rsidR="008F2724" w:rsidRPr="008F2724" w:rsidRDefault="008F2724" w:rsidP="008F2724">
            <w:pPr>
              <w:widowControl/>
              <w:autoSpaceDE/>
              <w:autoSpaceDN/>
              <w:adjustRightInd/>
              <w:jc w:val="left"/>
              <w:rPr>
                <w:rFonts w:cs="Times New Roman"/>
                <w:sz w:val="20"/>
                <w:szCs w:val="20"/>
              </w:rPr>
            </w:pPr>
            <w:r w:rsidRPr="008F2724">
              <w:rPr>
                <w:rFonts w:cs="Times New Roman"/>
                <w:sz w:val="20"/>
                <w:szCs w:val="20"/>
              </w:rPr>
              <w:t>Restaurants et hôtels</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100,0</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191,2</w:t>
            </w:r>
          </w:p>
        </w:tc>
      </w:tr>
      <w:tr w:rsidR="008F2724" w:rsidRPr="008F2724" w:rsidTr="008F2724">
        <w:trPr>
          <w:trHeight w:val="255"/>
          <w:jc w:val="center"/>
        </w:trPr>
        <w:tc>
          <w:tcPr>
            <w:tcW w:w="4900" w:type="dxa"/>
            <w:shd w:val="clear" w:color="auto" w:fill="auto"/>
            <w:vAlign w:val="center"/>
            <w:hideMark/>
          </w:tcPr>
          <w:p w:rsidR="008F2724" w:rsidRPr="008F2724" w:rsidRDefault="008F2724" w:rsidP="008F2724">
            <w:pPr>
              <w:widowControl/>
              <w:autoSpaceDE/>
              <w:autoSpaceDN/>
              <w:adjustRightInd/>
              <w:jc w:val="left"/>
              <w:rPr>
                <w:rFonts w:cs="Times New Roman"/>
                <w:sz w:val="20"/>
                <w:szCs w:val="20"/>
              </w:rPr>
            </w:pPr>
            <w:r w:rsidRPr="008F2724">
              <w:rPr>
                <w:rFonts w:cs="Times New Roman"/>
                <w:sz w:val="20"/>
                <w:szCs w:val="20"/>
              </w:rPr>
              <w:t>Biens et services divers</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100,0</w:t>
            </w:r>
          </w:p>
        </w:tc>
        <w:tc>
          <w:tcPr>
            <w:tcW w:w="1200" w:type="dxa"/>
            <w:shd w:val="clear" w:color="auto" w:fill="auto"/>
            <w:noWrap/>
            <w:vAlign w:val="center"/>
            <w:hideMark/>
          </w:tcPr>
          <w:p w:rsidR="008F2724" w:rsidRPr="008F2724" w:rsidRDefault="008F2724" w:rsidP="008F2724">
            <w:pPr>
              <w:widowControl/>
              <w:autoSpaceDE/>
              <w:autoSpaceDN/>
              <w:adjustRightInd/>
              <w:jc w:val="center"/>
              <w:rPr>
                <w:rFonts w:cs="Times New Roman"/>
                <w:sz w:val="20"/>
                <w:szCs w:val="20"/>
              </w:rPr>
            </w:pPr>
            <w:r w:rsidRPr="008F2724">
              <w:rPr>
                <w:rFonts w:cs="Times New Roman"/>
                <w:sz w:val="20"/>
                <w:szCs w:val="20"/>
              </w:rPr>
              <w:t>166,8</w:t>
            </w:r>
          </w:p>
        </w:tc>
      </w:tr>
    </w:tbl>
    <w:p w:rsidR="0052452C" w:rsidRDefault="0052452C" w:rsidP="00A542F8">
      <w:pPr>
        <w:pStyle w:val="Sansinterligne"/>
        <w:jc w:val="right"/>
        <w:rPr>
          <w:b/>
          <w:i/>
        </w:rPr>
      </w:pPr>
    </w:p>
    <w:p w:rsidR="00A542F8" w:rsidRPr="008F2724" w:rsidRDefault="00A542F8" w:rsidP="00A542F8">
      <w:pPr>
        <w:pStyle w:val="Sansinterligne"/>
        <w:jc w:val="right"/>
        <w:rPr>
          <w:b/>
          <w:i/>
        </w:rPr>
      </w:pPr>
      <w:r w:rsidRPr="008F2724">
        <w:rPr>
          <w:b/>
          <w:i/>
        </w:rPr>
        <w:t xml:space="preserve">Source : Insee, </w:t>
      </w:r>
      <w:hyperlink r:id="rId14" w:history="1">
        <w:r w:rsidRPr="008F2724">
          <w:rPr>
            <w:rStyle w:val="Lienhypertexte"/>
            <w:b/>
            <w:i/>
          </w:rPr>
          <w:t xml:space="preserve">Banque de données macro-économiques, Indices des prix à la consommation - Base </w:t>
        </w:r>
        <w:r w:rsidR="008F2724" w:rsidRPr="008F2724">
          <w:rPr>
            <w:rStyle w:val="Lienhypertexte"/>
            <w:b/>
            <w:i/>
          </w:rPr>
          <w:t>2015</w:t>
        </w:r>
        <w:r w:rsidRPr="008F2724">
          <w:rPr>
            <w:rStyle w:val="Lienhypertexte"/>
            <w:b/>
            <w:i/>
          </w:rPr>
          <w:t xml:space="preserve"> - Produits détaillés</w:t>
        </w:r>
      </w:hyperlink>
      <w:r w:rsidRPr="008F2724">
        <w:rPr>
          <w:b/>
          <w:i/>
        </w:rPr>
        <w:t>.</w:t>
      </w:r>
    </w:p>
    <w:p w:rsidR="008F2724" w:rsidRDefault="008F2724" w:rsidP="008F2724">
      <w:pPr>
        <w:ind w:left="360"/>
      </w:pPr>
    </w:p>
    <w:p w:rsidR="008F2724" w:rsidRDefault="008F2724" w:rsidP="008F2724">
      <w:pPr>
        <w:ind w:left="360"/>
      </w:pPr>
    </w:p>
    <w:p w:rsidR="00A542F8" w:rsidRDefault="00A542F8" w:rsidP="00A542F8">
      <w:pPr>
        <w:pStyle w:val="Paragraphedeliste"/>
        <w:numPr>
          <w:ilvl w:val="0"/>
          <w:numId w:val="34"/>
        </w:numPr>
      </w:pPr>
      <w:r>
        <w:t>Quel a été le taux de variation en pourcentage de l’ensemble des prix à la consommation entre 199</w:t>
      </w:r>
      <w:r w:rsidR="008F2724">
        <w:t>0</w:t>
      </w:r>
      <w:r>
        <w:t xml:space="preserve"> et 201</w:t>
      </w:r>
      <w:r w:rsidR="008F2724">
        <w:t>6</w:t>
      </w:r>
      <w:r>
        <w:t> ?</w:t>
      </w:r>
    </w:p>
    <w:p w:rsidR="00A542F8" w:rsidRDefault="00A542F8" w:rsidP="00A542F8">
      <w:pPr>
        <w:pStyle w:val="Paragraphedeliste"/>
        <w:numPr>
          <w:ilvl w:val="0"/>
          <w:numId w:val="34"/>
        </w:numPr>
      </w:pPr>
      <w:r>
        <w:t>Quels sont les types de dépenses dont les prix augmentent plus vite que la moyenne ?</w:t>
      </w:r>
    </w:p>
    <w:p w:rsidR="00A542F8" w:rsidRDefault="00A542F8" w:rsidP="00A542F8">
      <w:pPr>
        <w:pStyle w:val="Paragraphedeliste"/>
        <w:numPr>
          <w:ilvl w:val="0"/>
          <w:numId w:val="34"/>
        </w:numPr>
      </w:pPr>
      <w:r>
        <w:t>Quels sont les types de dépenses dont les prix augmentent moins vite que la moyenne ?</w:t>
      </w:r>
    </w:p>
    <w:p w:rsidR="00A542F8" w:rsidRDefault="00A542F8" w:rsidP="00A542F8">
      <w:pPr>
        <w:pStyle w:val="Paragraphedeliste"/>
        <w:numPr>
          <w:ilvl w:val="0"/>
          <w:numId w:val="34"/>
        </w:numPr>
      </w:pPr>
      <w:r>
        <w:t xml:space="preserve">Pour les </w:t>
      </w:r>
      <w:r w:rsidR="008F2724">
        <w:t>communications</w:t>
      </w:r>
      <w:r>
        <w:t>, comparez l’évolution des prix et l’évolution de leur coefficient budgétaire (document 2).</w:t>
      </w:r>
    </w:p>
    <w:p w:rsidR="00A542F8" w:rsidRDefault="00A542F8" w:rsidP="00A542F8">
      <w:pPr>
        <w:pStyle w:val="Paragraphedeliste"/>
        <w:numPr>
          <w:ilvl w:val="0"/>
          <w:numId w:val="34"/>
        </w:numPr>
      </w:pPr>
      <w:r>
        <w:t>Qu’en déduisez-vous ?</w:t>
      </w:r>
    </w:p>
    <w:p w:rsidR="00E42B85" w:rsidRDefault="00E42B85" w:rsidP="00A44BC7">
      <w:pPr>
        <w:widowControl/>
        <w:autoSpaceDE/>
        <w:autoSpaceDN/>
        <w:adjustRightInd/>
        <w:spacing w:after="200" w:line="276" w:lineRule="auto"/>
        <w:jc w:val="left"/>
      </w:pPr>
      <w:r>
        <w:br w:type="page"/>
      </w:r>
    </w:p>
    <w:p w:rsidR="00173D16" w:rsidRPr="009738DB" w:rsidRDefault="00173D16" w:rsidP="00173D16">
      <w:pPr>
        <w:widowControl/>
        <w:autoSpaceDE/>
        <w:autoSpaceDN/>
        <w:adjustRightInd/>
        <w:rPr>
          <w:rFonts w:cs="Times New Roman"/>
          <w:szCs w:val="24"/>
        </w:rPr>
      </w:pPr>
      <w:r w:rsidRPr="009738DB">
        <w:rPr>
          <w:rFonts w:cs="Times New Roman"/>
          <w:b/>
          <w:bCs/>
          <w:color w:val="000000"/>
          <w:szCs w:val="24"/>
          <w:u w:val="single"/>
        </w:rPr>
        <w:lastRenderedPageBreak/>
        <w:t>Travail final évalué :</w:t>
      </w:r>
    </w:p>
    <w:p w:rsidR="00173D16" w:rsidRDefault="00173D16" w:rsidP="00173D16">
      <w:pPr>
        <w:widowControl/>
        <w:autoSpaceDE/>
        <w:autoSpaceDN/>
        <w:adjustRightInd/>
        <w:rPr>
          <w:rFonts w:cs="Times New Roman"/>
          <w:b/>
          <w:bCs/>
          <w:color w:val="000000"/>
          <w:szCs w:val="24"/>
        </w:rPr>
      </w:pPr>
    </w:p>
    <w:p w:rsidR="00887909" w:rsidRDefault="00887909" w:rsidP="00887909">
      <w:pPr>
        <w:widowControl/>
        <w:autoSpaceDE/>
        <w:autoSpaceDN/>
        <w:adjustRightInd/>
        <w:ind w:left="360"/>
        <w:rPr>
          <w:rFonts w:cs="Times New Roman"/>
          <w:b/>
          <w:bCs/>
          <w:color w:val="000000"/>
          <w:szCs w:val="24"/>
        </w:rPr>
      </w:pPr>
      <w:r w:rsidRPr="00166271">
        <w:rPr>
          <w:rFonts w:cs="Times New Roman"/>
          <w:b/>
          <w:bCs/>
          <w:color w:val="000000"/>
          <w:szCs w:val="24"/>
        </w:rPr>
        <w:t>En vous aidant du module en ligne et de vos réponses aux questions accompagnant les documents précédents, vous tâcherez :</w:t>
      </w:r>
    </w:p>
    <w:p w:rsidR="00887909" w:rsidRPr="00166271" w:rsidRDefault="00887909" w:rsidP="00887909">
      <w:pPr>
        <w:widowControl/>
        <w:autoSpaceDE/>
        <w:autoSpaceDN/>
        <w:adjustRightInd/>
        <w:ind w:left="360"/>
        <w:rPr>
          <w:rFonts w:cs="Times New Roman"/>
          <w:b/>
          <w:bCs/>
          <w:color w:val="000000"/>
          <w:szCs w:val="24"/>
        </w:rPr>
      </w:pPr>
    </w:p>
    <w:p w:rsidR="00887909" w:rsidRDefault="00887909" w:rsidP="00887909">
      <w:pPr>
        <w:pStyle w:val="Paragraphedeliste"/>
        <w:widowControl/>
        <w:numPr>
          <w:ilvl w:val="0"/>
          <w:numId w:val="41"/>
        </w:numPr>
        <w:autoSpaceDE/>
        <w:autoSpaceDN/>
        <w:adjustRightInd/>
        <w:rPr>
          <w:rFonts w:cs="Times New Roman"/>
          <w:b/>
          <w:bCs/>
          <w:color w:val="000000"/>
          <w:szCs w:val="24"/>
        </w:rPr>
      </w:pPr>
      <w:r w:rsidRPr="00166271">
        <w:rPr>
          <w:rFonts w:cs="Times New Roman"/>
          <w:b/>
          <w:bCs/>
          <w:color w:val="000000"/>
          <w:szCs w:val="24"/>
        </w:rPr>
        <w:t>d’expliquer les évolutions de la consommation finale des ménages depuis 1960</w:t>
      </w:r>
      <w:r>
        <w:rPr>
          <w:rFonts w:cs="Times New Roman"/>
          <w:b/>
          <w:bCs/>
          <w:color w:val="000000"/>
          <w:szCs w:val="24"/>
        </w:rPr>
        <w:t xml:space="preserve"> </w:t>
      </w:r>
      <w:r w:rsidRPr="00166271">
        <w:rPr>
          <w:rFonts w:cs="Times New Roman"/>
          <w:b/>
          <w:bCs/>
          <w:color w:val="000000"/>
          <w:szCs w:val="24"/>
        </w:rPr>
        <w:t>;</w:t>
      </w:r>
    </w:p>
    <w:p w:rsidR="00887909" w:rsidRPr="00166271" w:rsidRDefault="00887909" w:rsidP="00887909">
      <w:pPr>
        <w:pStyle w:val="Paragraphedeliste"/>
        <w:widowControl/>
        <w:numPr>
          <w:ilvl w:val="0"/>
          <w:numId w:val="41"/>
        </w:numPr>
        <w:autoSpaceDE/>
        <w:autoSpaceDN/>
        <w:adjustRightInd/>
        <w:rPr>
          <w:rFonts w:cs="Times New Roman"/>
          <w:b/>
          <w:bCs/>
          <w:color w:val="000000"/>
          <w:szCs w:val="24"/>
        </w:rPr>
      </w:pPr>
      <w:r w:rsidRPr="00166271">
        <w:rPr>
          <w:rFonts w:cs="Times New Roman"/>
          <w:b/>
          <w:bCs/>
          <w:color w:val="000000"/>
          <w:szCs w:val="24"/>
        </w:rPr>
        <w:t>d’expliquer l’évolution des structures de cette consommation finale depuis 1960.</w:t>
      </w:r>
    </w:p>
    <w:p w:rsidR="00173D16" w:rsidRDefault="00173D16" w:rsidP="00E42B85">
      <w:pPr>
        <w:rPr>
          <w:b/>
          <w:u w:val="single"/>
        </w:rPr>
      </w:pPr>
    </w:p>
    <w:p w:rsidR="00173D16" w:rsidRDefault="00173D16" w:rsidP="00E42B85">
      <w:pPr>
        <w:rPr>
          <w:b/>
          <w:u w:val="single"/>
        </w:rPr>
      </w:pPr>
    </w:p>
    <w:p w:rsidR="00173D16" w:rsidRDefault="00173D16">
      <w:pPr>
        <w:widowControl/>
        <w:autoSpaceDE/>
        <w:autoSpaceDN/>
        <w:adjustRightInd/>
        <w:spacing w:after="200" w:line="276" w:lineRule="auto"/>
        <w:jc w:val="left"/>
        <w:rPr>
          <w:b/>
          <w:u w:val="single"/>
        </w:rPr>
      </w:pPr>
      <w:r>
        <w:rPr>
          <w:b/>
          <w:u w:val="single"/>
        </w:rPr>
        <w:br w:type="page"/>
      </w:r>
    </w:p>
    <w:p w:rsidR="00E42B85" w:rsidRPr="00913EA6" w:rsidRDefault="00E42B85" w:rsidP="00E42B85">
      <w:pPr>
        <w:rPr>
          <w:b/>
          <w:u w:val="single"/>
        </w:rPr>
      </w:pPr>
      <w:r w:rsidRPr="00913EA6">
        <w:rPr>
          <w:b/>
          <w:u w:val="single"/>
        </w:rPr>
        <w:lastRenderedPageBreak/>
        <w:t>Bonus 1 :</w:t>
      </w:r>
    </w:p>
    <w:p w:rsidR="005762AB" w:rsidRDefault="005762AB" w:rsidP="00E42B85">
      <w:pPr>
        <w:rPr>
          <w:b/>
        </w:rPr>
      </w:pPr>
    </w:p>
    <w:p w:rsidR="00337719" w:rsidRPr="009677D4" w:rsidRDefault="00337719" w:rsidP="00337719">
      <w:pPr>
        <w:rPr>
          <w:b/>
        </w:rPr>
      </w:pPr>
      <w:r>
        <w:rPr>
          <w:b/>
        </w:rPr>
        <w:t>Document 5</w:t>
      </w:r>
    </w:p>
    <w:p w:rsidR="00337719" w:rsidRDefault="00337719" w:rsidP="00E42B85">
      <w:pPr>
        <w:rPr>
          <w:b/>
        </w:rPr>
      </w:pPr>
    </w:p>
    <w:p w:rsidR="0052452C" w:rsidRDefault="0052452C" w:rsidP="00E42B85">
      <w:pPr>
        <w:rPr>
          <w:b/>
        </w:rPr>
      </w:pPr>
      <w:r w:rsidRPr="008C685A">
        <w:rPr>
          <w:b/>
          <w:noProof/>
          <w:sz w:val="16"/>
          <w:szCs w:val="16"/>
        </w:rPr>
        <w:drawing>
          <wp:inline distT="0" distB="0" distL="0" distR="0">
            <wp:extent cx="5759450" cy="3768196"/>
            <wp:effectExtent l="19050" t="0" r="12700" b="3704"/>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2452C" w:rsidRDefault="0052452C" w:rsidP="00E42B85">
      <w:pPr>
        <w:rPr>
          <w:b/>
        </w:rPr>
      </w:pPr>
    </w:p>
    <w:p w:rsidR="00DC6118" w:rsidRPr="00364212" w:rsidRDefault="00DC6118" w:rsidP="00364212">
      <w:pPr>
        <w:rPr>
          <w:b/>
          <w:i/>
        </w:rPr>
      </w:pPr>
      <w:r w:rsidRPr="00364212">
        <w:rPr>
          <w:b/>
          <w:i/>
        </w:rPr>
        <w:t xml:space="preserve">Source : INSEE, Comptes nationaux 2016, </w:t>
      </w:r>
      <w:hyperlink r:id="rId16" w:history="1">
        <w:r w:rsidRPr="00364212">
          <w:rPr>
            <w:rStyle w:val="Lienhypertexte"/>
            <w:b/>
            <w:i/>
          </w:rPr>
          <w:t>Consommation des ménages en 2016</w:t>
        </w:r>
      </w:hyperlink>
      <w:r w:rsidRPr="00364212">
        <w:rPr>
          <w:b/>
          <w:i/>
        </w:rPr>
        <w:t xml:space="preserve"> (tableau </w:t>
      </w:r>
      <w:hyperlink r:id="rId17" w:history="1">
        <w:r w:rsidRPr="00364212">
          <w:rPr>
            <w:rStyle w:val="Lienhypertexte"/>
            <w:b/>
            <w:i/>
          </w:rPr>
          <w:t>Dépense de consommation pré-engagée des ménages</w:t>
        </w:r>
      </w:hyperlink>
      <w:r w:rsidRPr="00364212">
        <w:rPr>
          <w:b/>
          <w:i/>
        </w:rPr>
        <w:t>), mai 2017.</w:t>
      </w:r>
    </w:p>
    <w:p w:rsidR="002A3E8C" w:rsidRDefault="002A3E8C" w:rsidP="00E42B85">
      <w:pPr>
        <w:rPr>
          <w:b/>
        </w:rPr>
      </w:pPr>
    </w:p>
    <w:p w:rsidR="00337719" w:rsidRPr="00337719" w:rsidRDefault="00337719" w:rsidP="00337719">
      <w:pPr>
        <w:widowControl/>
        <w:autoSpaceDE/>
        <w:autoSpaceDN/>
        <w:adjustRightInd/>
        <w:rPr>
          <w:rFonts w:cs="Times New Roman"/>
          <w:szCs w:val="24"/>
        </w:rPr>
      </w:pPr>
      <w:r w:rsidRPr="00337719">
        <w:rPr>
          <w:rFonts w:cs="Times New Roman"/>
          <w:b/>
          <w:bCs/>
          <w:color w:val="000000"/>
          <w:szCs w:val="24"/>
          <w:u w:val="single"/>
        </w:rPr>
        <w:t xml:space="preserve">Note : </w:t>
      </w:r>
    </w:p>
    <w:p w:rsidR="00337719" w:rsidRPr="00337719" w:rsidRDefault="00337719" w:rsidP="00337719">
      <w:pPr>
        <w:widowControl/>
        <w:autoSpaceDE/>
        <w:autoSpaceDN/>
        <w:adjustRightInd/>
        <w:rPr>
          <w:rFonts w:cs="Times New Roman"/>
          <w:szCs w:val="24"/>
        </w:rPr>
      </w:pPr>
      <w:r w:rsidRPr="00337719">
        <w:rPr>
          <w:rFonts w:cs="Times New Roman"/>
          <w:color w:val="000000"/>
          <w:szCs w:val="24"/>
        </w:rPr>
        <w:t xml:space="preserve">Les dépenses de consommation « pré-engagées » des ménages désignent les dépenses qu'ils réalisent dans le cadre d’un contrat difficilement renégociable à court terme. </w:t>
      </w:r>
    </w:p>
    <w:p w:rsidR="00337719" w:rsidRPr="00337719" w:rsidRDefault="00337719" w:rsidP="00337719">
      <w:pPr>
        <w:widowControl/>
        <w:numPr>
          <w:ilvl w:val="0"/>
          <w:numId w:val="35"/>
        </w:numPr>
        <w:autoSpaceDE/>
        <w:autoSpaceDN/>
        <w:adjustRightInd/>
        <w:textAlignment w:val="baseline"/>
        <w:rPr>
          <w:rFonts w:ascii="Arial" w:hAnsi="Arial"/>
          <w:color w:val="000000"/>
          <w:szCs w:val="24"/>
        </w:rPr>
      </w:pPr>
      <w:r w:rsidRPr="00337719">
        <w:rPr>
          <w:rFonts w:cs="Times New Roman"/>
          <w:color w:val="000000"/>
          <w:szCs w:val="24"/>
        </w:rPr>
        <w:t>les dépenses liées au logement, ainsi que celles relatives à l’eau, au gaz, à l’électricité et aux autres combustibles utilisés dans les habitations;</w:t>
      </w:r>
    </w:p>
    <w:p w:rsidR="00337719" w:rsidRPr="00337719" w:rsidRDefault="00337719" w:rsidP="00337719">
      <w:pPr>
        <w:widowControl/>
        <w:numPr>
          <w:ilvl w:val="0"/>
          <w:numId w:val="35"/>
        </w:numPr>
        <w:autoSpaceDE/>
        <w:autoSpaceDN/>
        <w:adjustRightInd/>
        <w:textAlignment w:val="baseline"/>
        <w:rPr>
          <w:rFonts w:ascii="Arial" w:hAnsi="Arial"/>
          <w:color w:val="000000"/>
          <w:szCs w:val="24"/>
        </w:rPr>
      </w:pPr>
      <w:r w:rsidRPr="00337719">
        <w:rPr>
          <w:rFonts w:cs="Times New Roman"/>
          <w:color w:val="000000"/>
          <w:szCs w:val="24"/>
        </w:rPr>
        <w:t>les services de télécommunications;</w:t>
      </w:r>
    </w:p>
    <w:p w:rsidR="00337719" w:rsidRPr="00337719" w:rsidRDefault="00337719" w:rsidP="00337719">
      <w:pPr>
        <w:widowControl/>
        <w:numPr>
          <w:ilvl w:val="0"/>
          <w:numId w:val="35"/>
        </w:numPr>
        <w:autoSpaceDE/>
        <w:autoSpaceDN/>
        <w:adjustRightInd/>
        <w:textAlignment w:val="baseline"/>
        <w:rPr>
          <w:rFonts w:ascii="Arial" w:hAnsi="Arial"/>
          <w:color w:val="000000"/>
          <w:szCs w:val="24"/>
        </w:rPr>
      </w:pPr>
      <w:r w:rsidRPr="00337719">
        <w:rPr>
          <w:rFonts w:cs="Times New Roman"/>
          <w:color w:val="000000"/>
          <w:szCs w:val="24"/>
        </w:rPr>
        <w:t>les frais de cantines;</w:t>
      </w:r>
    </w:p>
    <w:p w:rsidR="00337719" w:rsidRPr="00337719" w:rsidRDefault="00337719" w:rsidP="00337719">
      <w:pPr>
        <w:widowControl/>
        <w:numPr>
          <w:ilvl w:val="0"/>
          <w:numId w:val="35"/>
        </w:numPr>
        <w:autoSpaceDE/>
        <w:autoSpaceDN/>
        <w:adjustRightInd/>
        <w:textAlignment w:val="baseline"/>
        <w:rPr>
          <w:rFonts w:ascii="Arial" w:hAnsi="Arial"/>
          <w:color w:val="000000"/>
          <w:szCs w:val="24"/>
        </w:rPr>
      </w:pPr>
      <w:r w:rsidRPr="00337719">
        <w:rPr>
          <w:rFonts w:cs="Times New Roman"/>
          <w:color w:val="000000"/>
          <w:szCs w:val="24"/>
        </w:rPr>
        <w:t>les services de télévision (redevance télévisuelle, abonnements à des chaînes payantes) ;</w:t>
      </w:r>
    </w:p>
    <w:p w:rsidR="00337719" w:rsidRPr="00337719" w:rsidRDefault="00337719" w:rsidP="00337719">
      <w:pPr>
        <w:widowControl/>
        <w:numPr>
          <w:ilvl w:val="0"/>
          <w:numId w:val="35"/>
        </w:numPr>
        <w:autoSpaceDE/>
        <w:autoSpaceDN/>
        <w:adjustRightInd/>
        <w:textAlignment w:val="baseline"/>
        <w:rPr>
          <w:rFonts w:ascii="Arial" w:hAnsi="Arial"/>
          <w:color w:val="000000"/>
          <w:szCs w:val="24"/>
        </w:rPr>
      </w:pPr>
      <w:r w:rsidRPr="00337719">
        <w:rPr>
          <w:rFonts w:cs="Times New Roman"/>
          <w:color w:val="000000"/>
          <w:szCs w:val="24"/>
        </w:rPr>
        <w:t>les assurances (hors assurance-vie);</w:t>
      </w:r>
    </w:p>
    <w:p w:rsidR="00337719" w:rsidRPr="00337719" w:rsidRDefault="00337719" w:rsidP="00337719">
      <w:pPr>
        <w:widowControl/>
        <w:numPr>
          <w:ilvl w:val="0"/>
          <w:numId w:val="35"/>
        </w:numPr>
        <w:autoSpaceDE/>
        <w:autoSpaceDN/>
        <w:adjustRightInd/>
        <w:textAlignment w:val="baseline"/>
        <w:rPr>
          <w:rFonts w:ascii="Arial" w:hAnsi="Arial"/>
          <w:color w:val="000000"/>
          <w:szCs w:val="24"/>
        </w:rPr>
      </w:pPr>
      <w:r w:rsidRPr="00337719">
        <w:rPr>
          <w:rFonts w:cs="Times New Roman"/>
          <w:color w:val="000000"/>
          <w:szCs w:val="24"/>
        </w:rPr>
        <w:t>les services financiers.</w:t>
      </w:r>
    </w:p>
    <w:p w:rsidR="00337719" w:rsidRPr="00337719" w:rsidRDefault="00337719" w:rsidP="00337719">
      <w:pPr>
        <w:widowControl/>
        <w:autoSpaceDE/>
        <w:autoSpaceDN/>
        <w:adjustRightInd/>
        <w:rPr>
          <w:rFonts w:cs="Times New Roman"/>
          <w:szCs w:val="24"/>
        </w:rPr>
      </w:pPr>
      <w:r w:rsidRPr="00337719">
        <w:rPr>
          <w:rFonts w:cs="Times New Roman"/>
          <w:szCs w:val="24"/>
        </w:rPr>
        <w:t> </w:t>
      </w:r>
    </w:p>
    <w:p w:rsidR="00337719" w:rsidRPr="00337719" w:rsidRDefault="00337719" w:rsidP="00337719">
      <w:pPr>
        <w:pStyle w:val="Paragraphedeliste"/>
        <w:numPr>
          <w:ilvl w:val="0"/>
          <w:numId w:val="39"/>
        </w:numPr>
      </w:pPr>
      <w:r w:rsidRPr="00337719">
        <w:t>Quel peut être l’intérêt de la notion de dépenses de consommation « pré-engagées » ?</w:t>
      </w:r>
    </w:p>
    <w:p w:rsidR="00337719" w:rsidRPr="00337719" w:rsidRDefault="00337719" w:rsidP="00337719">
      <w:pPr>
        <w:pStyle w:val="Paragraphedeliste"/>
        <w:numPr>
          <w:ilvl w:val="0"/>
          <w:numId w:val="39"/>
        </w:numPr>
      </w:pPr>
      <w:r w:rsidRPr="00337719">
        <w:t>Comment  a évolué leur part dans les dépenses de consommation finale des ménages depuis 1959 ?</w:t>
      </w:r>
    </w:p>
    <w:p w:rsidR="00337719" w:rsidRPr="00337719" w:rsidRDefault="00337719" w:rsidP="00337719">
      <w:pPr>
        <w:pStyle w:val="Paragraphedeliste"/>
        <w:numPr>
          <w:ilvl w:val="0"/>
          <w:numId w:val="39"/>
        </w:numPr>
      </w:pPr>
      <w:r w:rsidRPr="00337719">
        <w:t>Cette évolution pourrait-elle modifier la sensibilité de la consommation finale à l’évolution du RDB des ménages ?</w:t>
      </w:r>
    </w:p>
    <w:p w:rsidR="008C685A" w:rsidRDefault="008C685A" w:rsidP="00E42B85">
      <w:pPr>
        <w:rPr>
          <w:b/>
        </w:rPr>
      </w:pPr>
    </w:p>
    <w:p w:rsidR="003D4DA7" w:rsidRPr="003D4DA7" w:rsidRDefault="003D4DA7" w:rsidP="003D4DA7"/>
    <w:p w:rsidR="00337719" w:rsidRDefault="00337719">
      <w:pPr>
        <w:widowControl/>
        <w:autoSpaceDE/>
        <w:autoSpaceDN/>
        <w:adjustRightInd/>
        <w:spacing w:after="200" w:line="276" w:lineRule="auto"/>
        <w:jc w:val="left"/>
        <w:rPr>
          <w:b/>
          <w:u w:val="single"/>
        </w:rPr>
      </w:pPr>
      <w:r>
        <w:rPr>
          <w:b/>
          <w:u w:val="single"/>
        </w:rPr>
        <w:br w:type="page"/>
      </w:r>
    </w:p>
    <w:p w:rsidR="00DB7DA8" w:rsidRPr="00913EA6" w:rsidRDefault="00DB7DA8" w:rsidP="00DB7DA8">
      <w:pPr>
        <w:rPr>
          <w:b/>
          <w:u w:val="single"/>
        </w:rPr>
      </w:pPr>
      <w:r w:rsidRPr="00913EA6">
        <w:rPr>
          <w:b/>
          <w:u w:val="single"/>
        </w:rPr>
        <w:lastRenderedPageBreak/>
        <w:t xml:space="preserve">Bonus </w:t>
      </w:r>
      <w:r>
        <w:rPr>
          <w:b/>
          <w:u w:val="single"/>
        </w:rPr>
        <w:t>2</w:t>
      </w:r>
      <w:r w:rsidRPr="00913EA6">
        <w:rPr>
          <w:b/>
          <w:u w:val="single"/>
        </w:rPr>
        <w:t> :</w:t>
      </w:r>
    </w:p>
    <w:p w:rsidR="00DB7DA8" w:rsidRDefault="00DB7DA8" w:rsidP="00DB7DA8">
      <w:pPr>
        <w:rPr>
          <w:b/>
        </w:rPr>
      </w:pPr>
    </w:p>
    <w:p w:rsidR="00DB7DA8" w:rsidRPr="009677D4" w:rsidRDefault="00DB7DA8" w:rsidP="00DB7DA8">
      <w:pPr>
        <w:rPr>
          <w:b/>
        </w:rPr>
      </w:pPr>
      <w:r>
        <w:rPr>
          <w:b/>
        </w:rPr>
        <w:t>Document 6</w:t>
      </w:r>
    </w:p>
    <w:p w:rsidR="009273FC" w:rsidRDefault="009273FC" w:rsidP="003A5FEC"/>
    <w:p w:rsidR="00BC45CD" w:rsidRPr="00BC45CD" w:rsidRDefault="00BC45CD" w:rsidP="00BC45CD">
      <w:pPr>
        <w:widowControl/>
        <w:autoSpaceDE/>
        <w:autoSpaceDN/>
        <w:adjustRightInd/>
        <w:jc w:val="center"/>
        <w:rPr>
          <w:rFonts w:cs="Times New Roman"/>
          <w:b/>
          <w:bCs/>
          <w:color w:val="000000"/>
          <w:szCs w:val="24"/>
        </w:rPr>
      </w:pPr>
      <w:r w:rsidRPr="00BC45CD">
        <w:rPr>
          <w:rFonts w:cs="Times New Roman"/>
          <w:b/>
          <w:bCs/>
          <w:color w:val="000000"/>
          <w:szCs w:val="24"/>
        </w:rPr>
        <w:t>Structure des dépenses  par ménage selon la catégorie socioprofessionnelle</w:t>
      </w:r>
      <w:r w:rsidR="002345B0">
        <w:rPr>
          <w:rFonts w:cs="Times New Roman"/>
          <w:b/>
          <w:bCs/>
          <w:color w:val="000000"/>
          <w:szCs w:val="24"/>
        </w:rPr>
        <w:t xml:space="preserve"> (CSP)</w:t>
      </w:r>
      <w:r w:rsidRPr="00BC45CD">
        <w:rPr>
          <w:rFonts w:cs="Times New Roman"/>
          <w:b/>
          <w:bCs/>
          <w:color w:val="000000"/>
          <w:szCs w:val="24"/>
        </w:rPr>
        <w:t xml:space="preserve"> de la personne de référence</w:t>
      </w:r>
    </w:p>
    <w:p w:rsidR="00BC45CD" w:rsidRDefault="00BC45CD" w:rsidP="003A5FEC"/>
    <w:tbl>
      <w:tblPr>
        <w:tblW w:w="922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2707"/>
        <w:gridCol w:w="724"/>
        <w:gridCol w:w="724"/>
        <w:gridCol w:w="725"/>
        <w:gridCol w:w="724"/>
        <w:gridCol w:w="725"/>
        <w:gridCol w:w="724"/>
        <w:gridCol w:w="725"/>
        <w:gridCol w:w="724"/>
        <w:gridCol w:w="725"/>
      </w:tblGrid>
      <w:tr w:rsidR="00CD0B23" w:rsidRPr="00DC529A" w:rsidTr="00CD0B23">
        <w:trPr>
          <w:cantSplit/>
          <w:trHeight w:val="2550"/>
        </w:trPr>
        <w:tc>
          <w:tcPr>
            <w:tcW w:w="2707" w:type="dxa"/>
            <w:shd w:val="clear" w:color="auto" w:fill="auto"/>
            <w:textDirection w:val="btLr"/>
            <w:vAlign w:val="center"/>
            <w:hideMark/>
          </w:tcPr>
          <w:p w:rsidR="002A3E8C" w:rsidRPr="00DC529A" w:rsidRDefault="002345B0" w:rsidP="002345B0">
            <w:pPr>
              <w:widowControl/>
              <w:autoSpaceDE/>
              <w:autoSpaceDN/>
              <w:adjustRightInd/>
              <w:ind w:left="113" w:right="113"/>
              <w:jc w:val="center"/>
              <w:rPr>
                <w:rFonts w:cs="Times New Roman"/>
                <w:b/>
                <w:iCs/>
                <w:color w:val="000000"/>
                <w:szCs w:val="24"/>
              </w:rPr>
            </w:pPr>
            <w:r>
              <w:rPr>
                <w:rFonts w:cs="Times New Roman"/>
                <w:b/>
                <w:iCs/>
                <w:color w:val="000000"/>
                <w:szCs w:val="24"/>
              </w:rPr>
              <w:t>CSP</w:t>
            </w:r>
          </w:p>
        </w:tc>
        <w:tc>
          <w:tcPr>
            <w:tcW w:w="724" w:type="dxa"/>
            <w:shd w:val="clear" w:color="auto" w:fill="auto"/>
            <w:textDirection w:val="btLr"/>
            <w:vAlign w:val="center"/>
            <w:hideMark/>
          </w:tcPr>
          <w:p w:rsidR="002A3E8C" w:rsidRPr="00DC529A" w:rsidRDefault="002A3E8C" w:rsidP="00CD0B23">
            <w:pPr>
              <w:widowControl/>
              <w:autoSpaceDE/>
              <w:autoSpaceDN/>
              <w:adjustRightInd/>
              <w:ind w:left="113" w:right="113"/>
              <w:jc w:val="center"/>
              <w:rPr>
                <w:rFonts w:cs="Times New Roman"/>
                <w:b/>
                <w:bCs/>
                <w:iCs/>
                <w:color w:val="000000"/>
                <w:szCs w:val="24"/>
              </w:rPr>
            </w:pPr>
            <w:r w:rsidRPr="00DC529A">
              <w:rPr>
                <w:rFonts w:cs="Times New Roman"/>
                <w:b/>
                <w:bCs/>
                <w:iCs/>
                <w:color w:val="000000"/>
                <w:szCs w:val="24"/>
              </w:rPr>
              <w:t>Ensemble</w:t>
            </w:r>
          </w:p>
        </w:tc>
        <w:tc>
          <w:tcPr>
            <w:tcW w:w="724" w:type="dxa"/>
            <w:shd w:val="clear" w:color="auto" w:fill="auto"/>
            <w:textDirection w:val="btLr"/>
            <w:vAlign w:val="center"/>
            <w:hideMark/>
          </w:tcPr>
          <w:p w:rsidR="002A3E8C" w:rsidRPr="00DC529A" w:rsidRDefault="002A3E8C" w:rsidP="00CD0B23">
            <w:pPr>
              <w:widowControl/>
              <w:autoSpaceDE/>
              <w:autoSpaceDN/>
              <w:adjustRightInd/>
              <w:ind w:left="113" w:right="113"/>
              <w:jc w:val="center"/>
              <w:rPr>
                <w:rFonts w:cs="Times New Roman"/>
                <w:color w:val="000000"/>
                <w:szCs w:val="24"/>
              </w:rPr>
            </w:pPr>
            <w:r w:rsidRPr="00DC529A">
              <w:rPr>
                <w:rFonts w:cs="Times New Roman"/>
                <w:color w:val="000000"/>
                <w:szCs w:val="24"/>
              </w:rPr>
              <w:t>Agriculteurs</w:t>
            </w:r>
          </w:p>
        </w:tc>
        <w:tc>
          <w:tcPr>
            <w:tcW w:w="725" w:type="dxa"/>
            <w:shd w:val="clear" w:color="auto" w:fill="auto"/>
            <w:textDirection w:val="btLr"/>
            <w:vAlign w:val="center"/>
            <w:hideMark/>
          </w:tcPr>
          <w:p w:rsidR="002A3E8C" w:rsidRPr="00DC529A" w:rsidRDefault="002A3E8C" w:rsidP="00CD0B23">
            <w:pPr>
              <w:widowControl/>
              <w:autoSpaceDE/>
              <w:autoSpaceDN/>
              <w:adjustRightInd/>
              <w:ind w:left="113" w:right="113"/>
              <w:jc w:val="center"/>
              <w:rPr>
                <w:rFonts w:cs="Times New Roman"/>
                <w:color w:val="000000"/>
                <w:szCs w:val="24"/>
              </w:rPr>
            </w:pPr>
            <w:r w:rsidRPr="00DC529A">
              <w:rPr>
                <w:rFonts w:cs="Times New Roman"/>
                <w:color w:val="000000"/>
                <w:szCs w:val="24"/>
              </w:rPr>
              <w:t>Artisans, commerçants et chefs d entreprise</w:t>
            </w:r>
          </w:p>
        </w:tc>
        <w:tc>
          <w:tcPr>
            <w:tcW w:w="724" w:type="dxa"/>
            <w:shd w:val="clear" w:color="auto" w:fill="auto"/>
            <w:textDirection w:val="btLr"/>
            <w:vAlign w:val="center"/>
            <w:hideMark/>
          </w:tcPr>
          <w:p w:rsidR="002A3E8C" w:rsidRPr="00DC529A" w:rsidRDefault="002A3E8C" w:rsidP="00CD0B23">
            <w:pPr>
              <w:widowControl/>
              <w:autoSpaceDE/>
              <w:autoSpaceDN/>
              <w:adjustRightInd/>
              <w:ind w:left="113" w:right="113"/>
              <w:jc w:val="center"/>
              <w:rPr>
                <w:rFonts w:cs="Times New Roman"/>
                <w:color w:val="000000"/>
                <w:szCs w:val="24"/>
              </w:rPr>
            </w:pPr>
            <w:r w:rsidRPr="00DC529A">
              <w:rPr>
                <w:rFonts w:cs="Times New Roman"/>
                <w:color w:val="000000"/>
                <w:szCs w:val="24"/>
              </w:rPr>
              <w:t>Cadres</w:t>
            </w:r>
          </w:p>
        </w:tc>
        <w:tc>
          <w:tcPr>
            <w:tcW w:w="725" w:type="dxa"/>
            <w:shd w:val="clear" w:color="auto" w:fill="auto"/>
            <w:textDirection w:val="btLr"/>
            <w:vAlign w:val="center"/>
            <w:hideMark/>
          </w:tcPr>
          <w:p w:rsidR="002A3E8C" w:rsidRPr="00DC529A" w:rsidRDefault="002A3E8C" w:rsidP="00CD0B23">
            <w:pPr>
              <w:widowControl/>
              <w:autoSpaceDE/>
              <w:autoSpaceDN/>
              <w:adjustRightInd/>
              <w:ind w:left="113" w:right="113"/>
              <w:jc w:val="center"/>
              <w:rPr>
                <w:rFonts w:cs="Times New Roman"/>
                <w:color w:val="000000"/>
                <w:szCs w:val="24"/>
              </w:rPr>
            </w:pPr>
            <w:r w:rsidRPr="00DC529A">
              <w:rPr>
                <w:rFonts w:cs="Times New Roman"/>
                <w:color w:val="000000"/>
                <w:szCs w:val="24"/>
              </w:rPr>
              <w:t>Professions intermédiaires</w:t>
            </w:r>
          </w:p>
        </w:tc>
        <w:tc>
          <w:tcPr>
            <w:tcW w:w="724" w:type="dxa"/>
            <w:shd w:val="clear" w:color="auto" w:fill="auto"/>
            <w:textDirection w:val="btLr"/>
            <w:vAlign w:val="center"/>
            <w:hideMark/>
          </w:tcPr>
          <w:p w:rsidR="002A3E8C" w:rsidRPr="00DC529A" w:rsidRDefault="002A3E8C" w:rsidP="00CD0B23">
            <w:pPr>
              <w:widowControl/>
              <w:autoSpaceDE/>
              <w:autoSpaceDN/>
              <w:adjustRightInd/>
              <w:ind w:left="113" w:right="113"/>
              <w:jc w:val="center"/>
              <w:rPr>
                <w:rFonts w:cs="Times New Roman"/>
                <w:color w:val="000000"/>
                <w:szCs w:val="24"/>
              </w:rPr>
            </w:pPr>
            <w:r w:rsidRPr="00DC529A">
              <w:rPr>
                <w:rFonts w:cs="Times New Roman"/>
                <w:color w:val="000000"/>
                <w:szCs w:val="24"/>
              </w:rPr>
              <w:t>Employés</w:t>
            </w:r>
          </w:p>
        </w:tc>
        <w:tc>
          <w:tcPr>
            <w:tcW w:w="725" w:type="dxa"/>
            <w:shd w:val="clear" w:color="auto" w:fill="auto"/>
            <w:textDirection w:val="btLr"/>
            <w:vAlign w:val="center"/>
            <w:hideMark/>
          </w:tcPr>
          <w:p w:rsidR="002A3E8C" w:rsidRPr="00DC529A" w:rsidRDefault="002A3E8C" w:rsidP="00CD0B23">
            <w:pPr>
              <w:widowControl/>
              <w:autoSpaceDE/>
              <w:autoSpaceDN/>
              <w:adjustRightInd/>
              <w:ind w:left="113" w:right="113"/>
              <w:jc w:val="center"/>
              <w:rPr>
                <w:rFonts w:cs="Times New Roman"/>
                <w:color w:val="000000"/>
                <w:szCs w:val="24"/>
              </w:rPr>
            </w:pPr>
            <w:r w:rsidRPr="00DC529A">
              <w:rPr>
                <w:rFonts w:cs="Times New Roman"/>
                <w:color w:val="000000"/>
                <w:szCs w:val="24"/>
              </w:rPr>
              <w:t>Ouvriers</w:t>
            </w:r>
          </w:p>
        </w:tc>
        <w:tc>
          <w:tcPr>
            <w:tcW w:w="724" w:type="dxa"/>
            <w:shd w:val="clear" w:color="auto" w:fill="auto"/>
            <w:textDirection w:val="btLr"/>
            <w:vAlign w:val="center"/>
            <w:hideMark/>
          </w:tcPr>
          <w:p w:rsidR="002A3E8C" w:rsidRPr="00DC529A" w:rsidRDefault="002A3E8C" w:rsidP="00CD0B23">
            <w:pPr>
              <w:widowControl/>
              <w:autoSpaceDE/>
              <w:autoSpaceDN/>
              <w:adjustRightInd/>
              <w:ind w:left="113" w:right="113"/>
              <w:jc w:val="center"/>
              <w:rPr>
                <w:rFonts w:cs="Times New Roman"/>
                <w:color w:val="000000"/>
                <w:szCs w:val="24"/>
              </w:rPr>
            </w:pPr>
            <w:r w:rsidRPr="00DC529A">
              <w:rPr>
                <w:rFonts w:cs="Times New Roman"/>
                <w:color w:val="000000"/>
                <w:szCs w:val="24"/>
              </w:rPr>
              <w:t>Retraités</w:t>
            </w:r>
          </w:p>
        </w:tc>
        <w:tc>
          <w:tcPr>
            <w:tcW w:w="725" w:type="dxa"/>
            <w:shd w:val="clear" w:color="auto" w:fill="auto"/>
            <w:textDirection w:val="btLr"/>
            <w:vAlign w:val="center"/>
            <w:hideMark/>
          </w:tcPr>
          <w:p w:rsidR="002A3E8C" w:rsidRPr="00DC529A" w:rsidRDefault="002A3E8C" w:rsidP="00CD0B23">
            <w:pPr>
              <w:widowControl/>
              <w:autoSpaceDE/>
              <w:autoSpaceDN/>
              <w:adjustRightInd/>
              <w:ind w:left="113" w:right="113"/>
              <w:jc w:val="center"/>
              <w:rPr>
                <w:rFonts w:cs="Times New Roman"/>
                <w:color w:val="000000"/>
                <w:szCs w:val="24"/>
              </w:rPr>
            </w:pPr>
            <w:r w:rsidRPr="00DC529A">
              <w:rPr>
                <w:rFonts w:cs="Times New Roman"/>
                <w:color w:val="000000"/>
                <w:szCs w:val="24"/>
              </w:rPr>
              <w:t>Autres inactifs</w:t>
            </w:r>
          </w:p>
        </w:tc>
      </w:tr>
      <w:tr w:rsidR="00CD0B23" w:rsidRPr="00DC529A" w:rsidTr="00CD0B23">
        <w:trPr>
          <w:trHeight w:val="255"/>
        </w:trPr>
        <w:tc>
          <w:tcPr>
            <w:tcW w:w="2707" w:type="dxa"/>
            <w:shd w:val="clear" w:color="auto" w:fill="auto"/>
            <w:noWrap/>
            <w:vAlign w:val="center"/>
            <w:hideMark/>
          </w:tcPr>
          <w:p w:rsidR="00CD0B23" w:rsidRPr="00DC529A" w:rsidRDefault="00CD0B23" w:rsidP="009A1EA7">
            <w:pPr>
              <w:widowControl/>
              <w:autoSpaceDE/>
              <w:autoSpaceDN/>
              <w:adjustRightInd/>
              <w:jc w:val="left"/>
              <w:rPr>
                <w:rFonts w:cs="Times New Roman"/>
                <w:szCs w:val="24"/>
              </w:rPr>
            </w:pPr>
            <w:r w:rsidRPr="00DC529A">
              <w:rPr>
                <w:rFonts w:cs="Times New Roman"/>
                <w:szCs w:val="24"/>
              </w:rPr>
              <w:t>Ensemble</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100,0</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100,0</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100,0</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100,0</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100,0</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100,0</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100,0</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100,0</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100,0</w:t>
            </w:r>
          </w:p>
        </w:tc>
      </w:tr>
      <w:tr w:rsidR="00CD0B23" w:rsidRPr="00DC529A" w:rsidTr="00CD0B23">
        <w:trPr>
          <w:trHeight w:val="255"/>
        </w:trPr>
        <w:tc>
          <w:tcPr>
            <w:tcW w:w="2707" w:type="dxa"/>
            <w:shd w:val="clear" w:color="auto" w:fill="auto"/>
            <w:noWrap/>
            <w:vAlign w:val="center"/>
            <w:hideMark/>
          </w:tcPr>
          <w:p w:rsidR="00CD0B23" w:rsidRPr="00DC529A" w:rsidRDefault="00CD0B23" w:rsidP="009A1EA7">
            <w:pPr>
              <w:widowControl/>
              <w:autoSpaceDE/>
              <w:autoSpaceDN/>
              <w:adjustRightInd/>
              <w:jc w:val="left"/>
              <w:rPr>
                <w:rFonts w:cs="Times New Roman"/>
                <w:szCs w:val="24"/>
              </w:rPr>
            </w:pPr>
            <w:r w:rsidRPr="00DC529A">
              <w:rPr>
                <w:rFonts w:cs="Times New Roman"/>
                <w:szCs w:val="24"/>
              </w:rPr>
              <w:t>Produits alimentaires et boissons non alcoolisées</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16,4</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20,7</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14,8</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13,2</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15,0</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15,6</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17,0</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19,9</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17,4</w:t>
            </w:r>
          </w:p>
        </w:tc>
      </w:tr>
      <w:tr w:rsidR="00CD0B23" w:rsidRPr="00DC529A" w:rsidTr="00CD0B23">
        <w:trPr>
          <w:trHeight w:val="255"/>
        </w:trPr>
        <w:tc>
          <w:tcPr>
            <w:tcW w:w="2707" w:type="dxa"/>
            <w:shd w:val="clear" w:color="auto" w:fill="auto"/>
            <w:noWrap/>
            <w:vAlign w:val="center"/>
            <w:hideMark/>
          </w:tcPr>
          <w:p w:rsidR="00CD0B23" w:rsidRPr="00DC529A" w:rsidRDefault="00CD0B23" w:rsidP="009A1EA7">
            <w:pPr>
              <w:widowControl/>
              <w:autoSpaceDE/>
              <w:autoSpaceDN/>
              <w:adjustRightInd/>
              <w:jc w:val="left"/>
              <w:rPr>
                <w:rFonts w:cs="Times New Roman"/>
                <w:szCs w:val="24"/>
              </w:rPr>
            </w:pPr>
            <w:r w:rsidRPr="00DC529A">
              <w:rPr>
                <w:rFonts w:cs="Times New Roman"/>
                <w:szCs w:val="24"/>
              </w:rPr>
              <w:t>Boissons alcoolisées, tabac et stupéfiants</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3,0</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3,2</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2,9</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2,2</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2,7</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3,3</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4,0</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3,0</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3,6</w:t>
            </w:r>
          </w:p>
        </w:tc>
      </w:tr>
      <w:tr w:rsidR="00CD0B23" w:rsidRPr="00DC529A" w:rsidTr="00CD0B23">
        <w:trPr>
          <w:trHeight w:val="255"/>
        </w:trPr>
        <w:tc>
          <w:tcPr>
            <w:tcW w:w="2707" w:type="dxa"/>
            <w:shd w:val="clear" w:color="auto" w:fill="auto"/>
            <w:noWrap/>
            <w:vAlign w:val="center"/>
            <w:hideMark/>
          </w:tcPr>
          <w:p w:rsidR="00CD0B23" w:rsidRPr="00DC529A" w:rsidRDefault="00CD0B23" w:rsidP="009A1EA7">
            <w:pPr>
              <w:widowControl/>
              <w:autoSpaceDE/>
              <w:autoSpaceDN/>
              <w:adjustRightInd/>
              <w:jc w:val="left"/>
              <w:rPr>
                <w:rFonts w:cs="Times New Roman"/>
                <w:szCs w:val="24"/>
              </w:rPr>
            </w:pPr>
            <w:r w:rsidRPr="00DC529A">
              <w:rPr>
                <w:rFonts w:cs="Times New Roman"/>
                <w:szCs w:val="24"/>
              </w:rPr>
              <w:t>Articles d'habillement et chaussures</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5,0</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3,9</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5,7</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5,7</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5,7</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5,7</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5,5</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3,4</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5,3</w:t>
            </w:r>
          </w:p>
        </w:tc>
      </w:tr>
      <w:tr w:rsidR="00CD0B23" w:rsidRPr="00DC529A" w:rsidTr="00CD0B23">
        <w:trPr>
          <w:trHeight w:val="255"/>
        </w:trPr>
        <w:tc>
          <w:tcPr>
            <w:tcW w:w="2707" w:type="dxa"/>
            <w:shd w:val="clear" w:color="auto" w:fill="auto"/>
            <w:noWrap/>
            <w:vAlign w:val="center"/>
            <w:hideMark/>
          </w:tcPr>
          <w:p w:rsidR="00CD0B23" w:rsidRPr="00DC529A" w:rsidRDefault="00CD0B23" w:rsidP="009A1EA7">
            <w:pPr>
              <w:widowControl/>
              <w:autoSpaceDE/>
              <w:autoSpaceDN/>
              <w:adjustRightInd/>
              <w:jc w:val="left"/>
              <w:rPr>
                <w:rFonts w:cs="Times New Roman"/>
                <w:szCs w:val="24"/>
              </w:rPr>
            </w:pPr>
            <w:r w:rsidRPr="00DC529A">
              <w:rPr>
                <w:rFonts w:cs="Times New Roman"/>
                <w:szCs w:val="24"/>
              </w:rPr>
              <w:t>Logement, eau, gaz, électricité et autres combustibles</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15,7</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10,2</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11,8</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13,3</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14,7</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17,6</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17,4</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16,6</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23,1</w:t>
            </w:r>
          </w:p>
        </w:tc>
      </w:tr>
      <w:tr w:rsidR="00CD0B23" w:rsidRPr="00DC529A" w:rsidTr="00CD0B23">
        <w:trPr>
          <w:trHeight w:val="255"/>
        </w:trPr>
        <w:tc>
          <w:tcPr>
            <w:tcW w:w="2707" w:type="dxa"/>
            <w:shd w:val="clear" w:color="auto" w:fill="auto"/>
            <w:noWrap/>
            <w:vAlign w:val="center"/>
            <w:hideMark/>
          </w:tcPr>
          <w:p w:rsidR="00CD0B23" w:rsidRPr="00DC529A" w:rsidRDefault="00CD0B23" w:rsidP="009A1EA7">
            <w:pPr>
              <w:widowControl/>
              <w:autoSpaceDE/>
              <w:autoSpaceDN/>
              <w:adjustRightInd/>
              <w:jc w:val="left"/>
              <w:rPr>
                <w:rFonts w:cs="Times New Roman"/>
                <w:szCs w:val="24"/>
              </w:rPr>
            </w:pPr>
            <w:r w:rsidRPr="00DC529A">
              <w:rPr>
                <w:rFonts w:cs="Times New Roman"/>
                <w:szCs w:val="24"/>
              </w:rPr>
              <w:t>Meubles, articles de ménage et entretien courant du foyer</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5,9</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6,4</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6,8</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6,7</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5,3</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5,0</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4,9</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6,7</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4,5</w:t>
            </w:r>
          </w:p>
        </w:tc>
      </w:tr>
      <w:tr w:rsidR="00CD0B23" w:rsidRPr="00DC529A" w:rsidTr="00CD0B23">
        <w:trPr>
          <w:trHeight w:val="255"/>
        </w:trPr>
        <w:tc>
          <w:tcPr>
            <w:tcW w:w="2707" w:type="dxa"/>
            <w:shd w:val="clear" w:color="auto" w:fill="auto"/>
            <w:noWrap/>
            <w:vAlign w:val="center"/>
            <w:hideMark/>
          </w:tcPr>
          <w:p w:rsidR="00CD0B23" w:rsidRPr="00DC529A" w:rsidRDefault="00CD0B23" w:rsidP="009A1EA7">
            <w:pPr>
              <w:widowControl/>
              <w:autoSpaceDE/>
              <w:autoSpaceDN/>
              <w:adjustRightInd/>
              <w:jc w:val="left"/>
              <w:rPr>
                <w:rFonts w:cs="Times New Roman"/>
                <w:szCs w:val="24"/>
              </w:rPr>
            </w:pPr>
            <w:r w:rsidRPr="00DC529A">
              <w:rPr>
                <w:rFonts w:cs="Times New Roman"/>
                <w:szCs w:val="24"/>
              </w:rPr>
              <w:t>Santé</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1,8</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1,6</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1,5</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1,7</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1,6</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1,8</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1,6</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2,3</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1,8</w:t>
            </w:r>
          </w:p>
        </w:tc>
      </w:tr>
      <w:tr w:rsidR="00CD0B23" w:rsidRPr="00DC529A" w:rsidTr="00CD0B23">
        <w:trPr>
          <w:trHeight w:val="255"/>
        </w:trPr>
        <w:tc>
          <w:tcPr>
            <w:tcW w:w="2707" w:type="dxa"/>
            <w:shd w:val="clear" w:color="auto" w:fill="auto"/>
            <w:noWrap/>
            <w:vAlign w:val="center"/>
            <w:hideMark/>
          </w:tcPr>
          <w:p w:rsidR="00CD0B23" w:rsidRPr="00DC529A" w:rsidRDefault="00CD0B23" w:rsidP="009A1EA7">
            <w:pPr>
              <w:widowControl/>
              <w:autoSpaceDE/>
              <w:autoSpaceDN/>
              <w:adjustRightInd/>
              <w:jc w:val="left"/>
              <w:rPr>
                <w:rFonts w:cs="Times New Roman"/>
                <w:szCs w:val="24"/>
              </w:rPr>
            </w:pPr>
            <w:r w:rsidRPr="00DC529A">
              <w:rPr>
                <w:rFonts w:cs="Times New Roman"/>
                <w:szCs w:val="24"/>
              </w:rPr>
              <w:t>Transports</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17,4</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19,8</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20,5</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17,5</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19,4</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17,3</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18,6</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15,0</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12,2</w:t>
            </w:r>
          </w:p>
        </w:tc>
      </w:tr>
      <w:tr w:rsidR="00CD0B23" w:rsidRPr="00DC529A" w:rsidTr="00CD0B23">
        <w:trPr>
          <w:trHeight w:val="255"/>
        </w:trPr>
        <w:tc>
          <w:tcPr>
            <w:tcW w:w="2707" w:type="dxa"/>
            <w:shd w:val="clear" w:color="auto" w:fill="auto"/>
            <w:noWrap/>
            <w:vAlign w:val="center"/>
            <w:hideMark/>
          </w:tcPr>
          <w:p w:rsidR="00CD0B23" w:rsidRPr="00DC529A" w:rsidRDefault="00CD0B23" w:rsidP="009A1EA7">
            <w:pPr>
              <w:widowControl/>
              <w:autoSpaceDE/>
              <w:autoSpaceDN/>
              <w:adjustRightInd/>
              <w:jc w:val="left"/>
              <w:rPr>
                <w:rFonts w:cs="Times New Roman"/>
                <w:szCs w:val="24"/>
              </w:rPr>
            </w:pPr>
            <w:r w:rsidRPr="00DC529A">
              <w:rPr>
                <w:rFonts w:cs="Times New Roman"/>
                <w:szCs w:val="24"/>
              </w:rPr>
              <w:t>Communications</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3,3</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3,7</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3,3</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2,6</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3,3</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4,1</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3,8</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2,9</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4,1</w:t>
            </w:r>
          </w:p>
        </w:tc>
      </w:tr>
      <w:tr w:rsidR="00CD0B23" w:rsidRPr="00DC529A" w:rsidTr="00CD0B23">
        <w:trPr>
          <w:trHeight w:val="255"/>
        </w:trPr>
        <w:tc>
          <w:tcPr>
            <w:tcW w:w="2707" w:type="dxa"/>
            <w:shd w:val="clear" w:color="auto" w:fill="auto"/>
            <w:noWrap/>
            <w:vAlign w:val="center"/>
            <w:hideMark/>
          </w:tcPr>
          <w:p w:rsidR="00CD0B23" w:rsidRPr="00DC529A" w:rsidRDefault="00CD0B23" w:rsidP="009A1EA7">
            <w:pPr>
              <w:widowControl/>
              <w:autoSpaceDE/>
              <w:autoSpaceDN/>
              <w:adjustRightInd/>
              <w:jc w:val="left"/>
              <w:rPr>
                <w:rFonts w:cs="Times New Roman"/>
                <w:szCs w:val="24"/>
              </w:rPr>
            </w:pPr>
            <w:r w:rsidRPr="00DC529A">
              <w:rPr>
                <w:rFonts w:cs="Times New Roman"/>
                <w:szCs w:val="24"/>
              </w:rPr>
              <w:t>Loisirs et culture</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9,6</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8,0</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10,4</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11,8</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9,8</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8,5</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7,9</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9,5</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7,9</w:t>
            </w:r>
          </w:p>
        </w:tc>
      </w:tr>
      <w:tr w:rsidR="00CD0B23" w:rsidRPr="00DC529A" w:rsidTr="00CD0B23">
        <w:trPr>
          <w:trHeight w:val="255"/>
        </w:trPr>
        <w:tc>
          <w:tcPr>
            <w:tcW w:w="2707" w:type="dxa"/>
            <w:shd w:val="clear" w:color="auto" w:fill="auto"/>
            <w:noWrap/>
            <w:vAlign w:val="center"/>
            <w:hideMark/>
          </w:tcPr>
          <w:p w:rsidR="00CD0B23" w:rsidRPr="00DC529A" w:rsidRDefault="00CD0B23" w:rsidP="009A1EA7">
            <w:pPr>
              <w:widowControl/>
              <w:autoSpaceDE/>
              <w:autoSpaceDN/>
              <w:adjustRightInd/>
              <w:jc w:val="left"/>
              <w:rPr>
                <w:rFonts w:cs="Times New Roman"/>
                <w:szCs w:val="24"/>
              </w:rPr>
            </w:pPr>
            <w:r w:rsidRPr="00DC529A">
              <w:rPr>
                <w:rFonts w:cs="Times New Roman"/>
                <w:szCs w:val="24"/>
              </w:rPr>
              <w:t>Enseignement</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0,7</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0,7</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1,2</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1,1</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0,5</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0,7</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0,4</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0,1</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3,1</w:t>
            </w:r>
          </w:p>
        </w:tc>
      </w:tr>
      <w:tr w:rsidR="00CD0B23" w:rsidRPr="00DC529A" w:rsidTr="00CD0B23">
        <w:trPr>
          <w:trHeight w:val="255"/>
        </w:trPr>
        <w:tc>
          <w:tcPr>
            <w:tcW w:w="2707" w:type="dxa"/>
            <w:shd w:val="clear" w:color="auto" w:fill="auto"/>
            <w:noWrap/>
            <w:vAlign w:val="center"/>
            <w:hideMark/>
          </w:tcPr>
          <w:p w:rsidR="00CD0B23" w:rsidRPr="00DC529A" w:rsidRDefault="00CD0B23" w:rsidP="009A1EA7">
            <w:pPr>
              <w:widowControl/>
              <w:autoSpaceDE/>
              <w:autoSpaceDN/>
              <w:adjustRightInd/>
              <w:jc w:val="left"/>
              <w:rPr>
                <w:rFonts w:cs="Times New Roman"/>
                <w:szCs w:val="24"/>
              </w:rPr>
            </w:pPr>
            <w:r w:rsidRPr="00DC529A">
              <w:rPr>
                <w:rFonts w:cs="Times New Roman"/>
                <w:szCs w:val="24"/>
              </w:rPr>
              <w:t>Restaurants et hôtels</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6,6</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4,3</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7,2</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9,8</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7,5</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6,4</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5,2</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4,3</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6,2</w:t>
            </w:r>
          </w:p>
        </w:tc>
      </w:tr>
      <w:tr w:rsidR="00CD0B23" w:rsidRPr="00DC529A" w:rsidTr="00CD0B23">
        <w:trPr>
          <w:trHeight w:val="255"/>
        </w:trPr>
        <w:tc>
          <w:tcPr>
            <w:tcW w:w="2707" w:type="dxa"/>
            <w:shd w:val="clear" w:color="auto" w:fill="auto"/>
            <w:noWrap/>
            <w:vAlign w:val="center"/>
            <w:hideMark/>
          </w:tcPr>
          <w:p w:rsidR="00CD0B23" w:rsidRPr="00DC529A" w:rsidRDefault="00CD0B23" w:rsidP="009A1EA7">
            <w:pPr>
              <w:widowControl/>
              <w:autoSpaceDE/>
              <w:autoSpaceDN/>
              <w:adjustRightInd/>
              <w:jc w:val="left"/>
              <w:rPr>
                <w:rFonts w:cs="Times New Roman"/>
                <w:szCs w:val="24"/>
              </w:rPr>
            </w:pPr>
            <w:r w:rsidRPr="00DC529A">
              <w:rPr>
                <w:rFonts w:cs="Times New Roman"/>
                <w:szCs w:val="24"/>
              </w:rPr>
              <w:t>Biens et services divers</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b/>
                <w:color w:val="000000"/>
                <w:szCs w:val="24"/>
              </w:rPr>
            </w:pPr>
            <w:r w:rsidRPr="00DC529A">
              <w:rPr>
                <w:rFonts w:cs="Times New Roman"/>
                <w:b/>
                <w:color w:val="000000"/>
                <w:szCs w:val="24"/>
              </w:rPr>
              <w:t>14,7</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17,5</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13,7</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14,4</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14,3</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14,0</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13,8</w:t>
            </w:r>
          </w:p>
        </w:tc>
        <w:tc>
          <w:tcPr>
            <w:tcW w:w="724"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16,5</w:t>
            </w:r>
          </w:p>
        </w:tc>
        <w:tc>
          <w:tcPr>
            <w:tcW w:w="725" w:type="dxa"/>
            <w:shd w:val="clear" w:color="auto" w:fill="auto"/>
            <w:noWrap/>
            <w:vAlign w:val="center"/>
            <w:hideMark/>
          </w:tcPr>
          <w:p w:rsidR="00CD0B23" w:rsidRPr="00DC529A" w:rsidRDefault="00CD0B23" w:rsidP="002A3E8C">
            <w:pPr>
              <w:widowControl/>
              <w:autoSpaceDE/>
              <w:autoSpaceDN/>
              <w:adjustRightInd/>
              <w:jc w:val="right"/>
              <w:rPr>
                <w:rFonts w:cs="Times New Roman"/>
                <w:color w:val="000000"/>
                <w:szCs w:val="24"/>
              </w:rPr>
            </w:pPr>
            <w:r w:rsidRPr="00DC529A">
              <w:rPr>
                <w:rFonts w:cs="Times New Roman"/>
                <w:color w:val="000000"/>
                <w:szCs w:val="24"/>
              </w:rPr>
              <w:t>10,8</w:t>
            </w:r>
          </w:p>
        </w:tc>
      </w:tr>
    </w:tbl>
    <w:p w:rsidR="00DC6118" w:rsidRDefault="00DC6118" w:rsidP="00DC6118">
      <w:r>
        <w:t>Champ : France métropolitaine</w:t>
      </w:r>
    </w:p>
    <w:p w:rsidR="00DC6118" w:rsidRDefault="00DC6118" w:rsidP="00DC6118"/>
    <w:p w:rsidR="002A3E8C" w:rsidRDefault="00DC6118" w:rsidP="00DC6118">
      <w:pPr>
        <w:jc w:val="right"/>
        <w:rPr>
          <w:b/>
          <w:i/>
        </w:rPr>
      </w:pPr>
      <w:r w:rsidRPr="00DC6118">
        <w:rPr>
          <w:b/>
          <w:i/>
        </w:rPr>
        <w:t xml:space="preserve">Source : Insee, </w:t>
      </w:r>
      <w:hyperlink r:id="rId18" w:history="1">
        <w:r w:rsidRPr="00DC6118">
          <w:rPr>
            <w:rStyle w:val="Lienhypertexte"/>
            <w:b/>
            <w:i/>
          </w:rPr>
          <w:t>enquête Budget de famille 2011</w:t>
        </w:r>
      </w:hyperlink>
      <w:r w:rsidRPr="00DC6118">
        <w:rPr>
          <w:b/>
          <w:i/>
        </w:rPr>
        <w:t xml:space="preserve">, 29/09/2014 (Tableau </w:t>
      </w:r>
      <w:hyperlink r:id="rId19" w:history="1">
        <w:r w:rsidRPr="00DC6118">
          <w:rPr>
            <w:rStyle w:val="Lienhypertexte"/>
            <w:b/>
            <w:i/>
          </w:rPr>
          <w:t>TM205</w:t>
        </w:r>
      </w:hyperlink>
      <w:r w:rsidRPr="00DC6118">
        <w:rPr>
          <w:b/>
          <w:i/>
        </w:rPr>
        <w:t>)</w:t>
      </w:r>
    </w:p>
    <w:p w:rsidR="00BC45CD" w:rsidRDefault="00BC45CD" w:rsidP="00BC45CD"/>
    <w:p w:rsidR="00DC529A" w:rsidRDefault="00B22996" w:rsidP="00B22996">
      <w:pPr>
        <w:pStyle w:val="Paragraphedeliste"/>
        <w:numPr>
          <w:ilvl w:val="0"/>
          <w:numId w:val="40"/>
        </w:numPr>
      </w:pPr>
      <w:r>
        <w:t>Quelles CSP consacrent une partie plus importante de leurs dépenses que la moyenne à leur alimentation ?</w:t>
      </w:r>
    </w:p>
    <w:p w:rsidR="00B22996" w:rsidRDefault="00B22996" w:rsidP="00B22996">
      <w:pPr>
        <w:pStyle w:val="Paragraphedeliste"/>
        <w:numPr>
          <w:ilvl w:val="0"/>
          <w:numId w:val="40"/>
        </w:numPr>
      </w:pPr>
      <w:r>
        <w:t>Comment pourriez-vous expliquer cela ?</w:t>
      </w:r>
    </w:p>
    <w:p w:rsidR="00B22996" w:rsidRPr="00BC45CD" w:rsidRDefault="00B22996" w:rsidP="00B22996">
      <w:pPr>
        <w:pStyle w:val="Paragraphedeliste"/>
        <w:numPr>
          <w:ilvl w:val="0"/>
          <w:numId w:val="40"/>
        </w:numPr>
      </w:pPr>
      <w:r>
        <w:t>Les ouvriers et les employés dépensent-ils des sommes plus importantes pour leur logement que les cadres ?</w:t>
      </w:r>
    </w:p>
    <w:p w:rsidR="00BC45CD" w:rsidRPr="00BC45CD" w:rsidRDefault="00BC45CD" w:rsidP="00BC45CD"/>
    <w:sectPr w:rsidR="00BC45CD" w:rsidRPr="00BC45CD" w:rsidSect="00B3054B">
      <w:headerReference w:type="default" r:id="rId20"/>
      <w:pgSz w:w="11906" w:h="16838"/>
      <w:pgMar w:top="851"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590" w:rsidRDefault="00322590" w:rsidP="000B4BC4">
      <w:r>
        <w:separator/>
      </w:r>
    </w:p>
  </w:endnote>
  <w:endnote w:type="continuationSeparator" w:id="0">
    <w:p w:rsidR="00322590" w:rsidRDefault="00322590" w:rsidP="000B4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590" w:rsidRDefault="00322590" w:rsidP="000B4BC4">
      <w:r>
        <w:separator/>
      </w:r>
    </w:p>
  </w:footnote>
  <w:footnote w:type="continuationSeparator" w:id="0">
    <w:p w:rsidR="00322590" w:rsidRDefault="00322590" w:rsidP="000B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8C" w:rsidRPr="00470449" w:rsidRDefault="002A3E8C" w:rsidP="00F45CC0">
    <w:pPr>
      <w:pBdr>
        <w:bottom w:val="single" w:sz="6" w:space="1" w:color="auto"/>
      </w:pBdr>
      <w:ind w:left="-1134" w:right="-992" w:firstLine="851"/>
      <w:jc w:val="right"/>
      <w:rPr>
        <w:b/>
        <w:color w:val="E36C0A" w:themeColor="accent6" w:themeShade="BF"/>
        <w:sz w:val="16"/>
        <w:szCs w:val="16"/>
      </w:rPr>
    </w:pPr>
    <w:r>
      <w:rPr>
        <w:b/>
        <w:color w:val="E36C0A" w:themeColor="accent6" w:themeShade="BF"/>
        <w:sz w:val="16"/>
        <w:szCs w:val="16"/>
      </w:rPr>
      <w:t xml:space="preserve">Comment les revenus et les prix influencent-ils les choix des consommateurs </w:t>
    </w:r>
    <w:r w:rsidRPr="00470449">
      <w:rPr>
        <w:b/>
        <w:color w:val="E36C0A" w:themeColor="accent6" w:themeShade="BF"/>
        <w:sz w:val="16"/>
        <w:szCs w:val="16"/>
      </w:rPr>
      <w:t>? (</w:t>
    </w:r>
    <w:r>
      <w:rPr>
        <w:b/>
        <w:color w:val="E36C0A" w:themeColor="accent6" w:themeShade="BF"/>
        <w:sz w:val="16"/>
        <w:szCs w:val="16"/>
      </w:rPr>
      <w:t>4</w:t>
    </w:r>
    <w:r w:rsidRPr="00470449">
      <w:rPr>
        <w:b/>
        <w:color w:val="E36C0A" w:themeColor="accent6" w:themeShade="BF"/>
        <w:sz w:val="16"/>
        <w:szCs w:val="16"/>
      </w:rPr>
      <w:t>/</w:t>
    </w:r>
    <w:r>
      <w:rPr>
        <w:b/>
        <w:color w:val="E36C0A" w:themeColor="accent6" w:themeShade="BF"/>
        <w:sz w:val="16"/>
        <w:szCs w:val="16"/>
      </w:rPr>
      <w:t>4</w:t>
    </w:r>
    <w:r w:rsidRPr="00470449">
      <w:rPr>
        <w:b/>
        <w:color w:val="E36C0A" w:themeColor="accent6" w:themeShade="BF"/>
        <w:sz w:val="16"/>
        <w:szCs w:val="16"/>
      </w:rPr>
      <w:t xml:space="preserve">) </w:t>
    </w:r>
    <w:r>
      <w:rPr>
        <w:b/>
        <w:color w:val="E36C0A" w:themeColor="accent6" w:themeShade="BF"/>
        <w:sz w:val="16"/>
        <w:szCs w:val="16"/>
      </w:rPr>
      <w:t xml:space="preserve">– Quels sont les déterminants économiques de la consommation finale des ménages ? </w:t>
    </w:r>
    <w:r w:rsidRPr="00470449">
      <w:rPr>
        <w:b/>
        <w:color w:val="E36C0A" w:themeColor="accent6" w:themeShade="BF"/>
        <w:sz w:val="16"/>
        <w:szCs w:val="16"/>
      </w:rPr>
      <w:t xml:space="preserve">- </w:t>
    </w:r>
    <w:sdt>
      <w:sdtPr>
        <w:rPr>
          <w:b/>
          <w:sz w:val="16"/>
          <w:szCs w:val="16"/>
        </w:rPr>
        <w:id w:val="123790180"/>
        <w:docPartObj>
          <w:docPartGallery w:val="Page Numbers (Top of Page)"/>
          <w:docPartUnique/>
        </w:docPartObj>
      </w:sdtPr>
      <w:sdtContent>
        <w:r w:rsidRPr="00470449">
          <w:rPr>
            <w:b/>
            <w:color w:val="E36C0A" w:themeColor="accent6" w:themeShade="BF"/>
            <w:sz w:val="16"/>
            <w:szCs w:val="16"/>
          </w:rPr>
          <w:t xml:space="preserve">Page </w:t>
        </w:r>
        <w:r w:rsidR="00E3176D" w:rsidRPr="00470449">
          <w:rPr>
            <w:b/>
            <w:color w:val="E36C0A" w:themeColor="accent6" w:themeShade="BF"/>
            <w:sz w:val="16"/>
            <w:szCs w:val="16"/>
          </w:rPr>
          <w:fldChar w:fldCharType="begin"/>
        </w:r>
        <w:r w:rsidRPr="00470449">
          <w:rPr>
            <w:b/>
            <w:color w:val="E36C0A" w:themeColor="accent6" w:themeShade="BF"/>
            <w:sz w:val="16"/>
            <w:szCs w:val="16"/>
          </w:rPr>
          <w:instrText>PAGE</w:instrText>
        </w:r>
        <w:r w:rsidR="00E3176D" w:rsidRPr="00470449">
          <w:rPr>
            <w:b/>
            <w:color w:val="E36C0A" w:themeColor="accent6" w:themeShade="BF"/>
            <w:sz w:val="16"/>
            <w:szCs w:val="16"/>
          </w:rPr>
          <w:fldChar w:fldCharType="separate"/>
        </w:r>
        <w:r w:rsidR="000A0059">
          <w:rPr>
            <w:b/>
            <w:noProof/>
            <w:color w:val="E36C0A" w:themeColor="accent6" w:themeShade="BF"/>
            <w:sz w:val="16"/>
            <w:szCs w:val="16"/>
          </w:rPr>
          <w:t>3</w:t>
        </w:r>
        <w:r w:rsidR="00E3176D" w:rsidRPr="00470449">
          <w:rPr>
            <w:b/>
            <w:color w:val="E36C0A" w:themeColor="accent6" w:themeShade="BF"/>
            <w:sz w:val="16"/>
            <w:szCs w:val="16"/>
          </w:rPr>
          <w:fldChar w:fldCharType="end"/>
        </w:r>
        <w:r w:rsidRPr="00470449">
          <w:rPr>
            <w:b/>
            <w:color w:val="E36C0A" w:themeColor="accent6" w:themeShade="BF"/>
            <w:sz w:val="16"/>
            <w:szCs w:val="16"/>
          </w:rPr>
          <w:t xml:space="preserve"> / </w:t>
        </w:r>
        <w:r w:rsidR="00E3176D" w:rsidRPr="00470449">
          <w:rPr>
            <w:b/>
            <w:color w:val="E36C0A" w:themeColor="accent6" w:themeShade="BF"/>
            <w:sz w:val="16"/>
            <w:szCs w:val="16"/>
          </w:rPr>
          <w:fldChar w:fldCharType="begin"/>
        </w:r>
        <w:r w:rsidRPr="00470449">
          <w:rPr>
            <w:b/>
            <w:color w:val="E36C0A" w:themeColor="accent6" w:themeShade="BF"/>
            <w:sz w:val="16"/>
            <w:szCs w:val="16"/>
          </w:rPr>
          <w:instrText>NUMPAGES</w:instrText>
        </w:r>
        <w:r w:rsidR="00E3176D" w:rsidRPr="00470449">
          <w:rPr>
            <w:b/>
            <w:color w:val="E36C0A" w:themeColor="accent6" w:themeShade="BF"/>
            <w:sz w:val="16"/>
            <w:szCs w:val="16"/>
          </w:rPr>
          <w:fldChar w:fldCharType="separate"/>
        </w:r>
        <w:r w:rsidR="000A0059">
          <w:rPr>
            <w:b/>
            <w:noProof/>
            <w:color w:val="E36C0A" w:themeColor="accent6" w:themeShade="BF"/>
            <w:sz w:val="16"/>
            <w:szCs w:val="16"/>
          </w:rPr>
          <w:t>7</w:t>
        </w:r>
        <w:r w:rsidR="00E3176D"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7477"/>
    <w:multiLevelType w:val="hybridMultilevel"/>
    <w:tmpl w:val="8B8AA7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59498E"/>
    <w:multiLevelType w:val="hybridMultilevel"/>
    <w:tmpl w:val="20060B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531876"/>
    <w:multiLevelType w:val="hybridMultilevel"/>
    <w:tmpl w:val="438E1C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667DE3"/>
    <w:multiLevelType w:val="hybridMultilevel"/>
    <w:tmpl w:val="A8D09D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C4C52D5"/>
    <w:multiLevelType w:val="multilevel"/>
    <w:tmpl w:val="0068D1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F33D3F"/>
    <w:multiLevelType w:val="hybridMultilevel"/>
    <w:tmpl w:val="CE005D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66785D"/>
    <w:multiLevelType w:val="hybridMultilevel"/>
    <w:tmpl w:val="E11A5F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35A7046"/>
    <w:multiLevelType w:val="multilevel"/>
    <w:tmpl w:val="FC0CE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BF0E77"/>
    <w:multiLevelType w:val="hybridMultilevel"/>
    <w:tmpl w:val="3A342D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A5B15EA"/>
    <w:multiLevelType w:val="hybridMultilevel"/>
    <w:tmpl w:val="960837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EA47841"/>
    <w:multiLevelType w:val="hybridMultilevel"/>
    <w:tmpl w:val="CA70D3F4"/>
    <w:lvl w:ilvl="0" w:tplc="7E8C1E6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7E62B34"/>
    <w:multiLevelType w:val="hybridMultilevel"/>
    <w:tmpl w:val="6D2EDB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8357FE3"/>
    <w:multiLevelType w:val="hybridMultilevel"/>
    <w:tmpl w:val="EC90D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89C744F"/>
    <w:multiLevelType w:val="hybridMultilevel"/>
    <w:tmpl w:val="801ADB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9105674"/>
    <w:multiLevelType w:val="hybridMultilevel"/>
    <w:tmpl w:val="CC9CFB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9844D17"/>
    <w:multiLevelType w:val="multilevel"/>
    <w:tmpl w:val="8572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F51DB1"/>
    <w:multiLevelType w:val="hybridMultilevel"/>
    <w:tmpl w:val="794496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E9F085B"/>
    <w:multiLevelType w:val="hybridMultilevel"/>
    <w:tmpl w:val="553EA5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428763A"/>
    <w:multiLevelType w:val="multilevel"/>
    <w:tmpl w:val="A5763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B05CA1"/>
    <w:multiLevelType w:val="hybridMultilevel"/>
    <w:tmpl w:val="6E3C63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5F51055"/>
    <w:multiLevelType w:val="hybridMultilevel"/>
    <w:tmpl w:val="916683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81C0D2C"/>
    <w:multiLevelType w:val="hybridMultilevel"/>
    <w:tmpl w:val="F3409E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B6F1B98"/>
    <w:multiLevelType w:val="hybridMultilevel"/>
    <w:tmpl w:val="8A125C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FD61DB5"/>
    <w:multiLevelType w:val="hybridMultilevel"/>
    <w:tmpl w:val="A6209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1672EC0"/>
    <w:multiLevelType w:val="hybridMultilevel"/>
    <w:tmpl w:val="4D0089E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69D011E"/>
    <w:multiLevelType w:val="hybridMultilevel"/>
    <w:tmpl w:val="0C5A1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8EC1411"/>
    <w:multiLevelType w:val="multilevel"/>
    <w:tmpl w:val="0714D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3E1066"/>
    <w:multiLevelType w:val="hybridMultilevel"/>
    <w:tmpl w:val="960837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DCF0C4F"/>
    <w:multiLevelType w:val="multilevel"/>
    <w:tmpl w:val="C534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D11ABA"/>
    <w:multiLevelType w:val="multilevel"/>
    <w:tmpl w:val="1F50AF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E15817"/>
    <w:multiLevelType w:val="hybridMultilevel"/>
    <w:tmpl w:val="81D8AC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5750F18"/>
    <w:multiLevelType w:val="multilevel"/>
    <w:tmpl w:val="9524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761B42"/>
    <w:multiLevelType w:val="hybridMultilevel"/>
    <w:tmpl w:val="C04CB8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84D1F6A"/>
    <w:multiLevelType w:val="multilevel"/>
    <w:tmpl w:val="BEC29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4C379A"/>
    <w:multiLevelType w:val="multilevel"/>
    <w:tmpl w:val="ADAC2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E306BD"/>
    <w:multiLevelType w:val="hybridMultilevel"/>
    <w:tmpl w:val="749026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DB92B0E"/>
    <w:multiLevelType w:val="hybridMultilevel"/>
    <w:tmpl w:val="035C2B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F252726"/>
    <w:multiLevelType w:val="multilevel"/>
    <w:tmpl w:val="0CB83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3C2279"/>
    <w:multiLevelType w:val="multilevel"/>
    <w:tmpl w:val="77404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FD177E"/>
    <w:multiLevelType w:val="hybridMultilevel"/>
    <w:tmpl w:val="0930B9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EA43066"/>
    <w:multiLevelType w:val="multilevel"/>
    <w:tmpl w:val="05FCD8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4"/>
  </w:num>
  <w:num w:numId="3">
    <w:abstractNumId w:val="35"/>
  </w:num>
  <w:num w:numId="4">
    <w:abstractNumId w:val="17"/>
  </w:num>
  <w:num w:numId="5">
    <w:abstractNumId w:val="32"/>
  </w:num>
  <w:num w:numId="6">
    <w:abstractNumId w:val="1"/>
  </w:num>
  <w:num w:numId="7">
    <w:abstractNumId w:val="21"/>
  </w:num>
  <w:num w:numId="8">
    <w:abstractNumId w:val="31"/>
  </w:num>
  <w:num w:numId="9">
    <w:abstractNumId w:val="12"/>
  </w:num>
  <w:num w:numId="10">
    <w:abstractNumId w:val="25"/>
  </w:num>
  <w:num w:numId="11">
    <w:abstractNumId w:val="3"/>
  </w:num>
  <w:num w:numId="12">
    <w:abstractNumId w:val="39"/>
  </w:num>
  <w:num w:numId="13">
    <w:abstractNumId w:val="10"/>
  </w:num>
  <w:num w:numId="14">
    <w:abstractNumId w:val="24"/>
  </w:num>
  <w:num w:numId="15">
    <w:abstractNumId w:val="9"/>
  </w:num>
  <w:num w:numId="16">
    <w:abstractNumId w:val="8"/>
  </w:num>
  <w:num w:numId="17">
    <w:abstractNumId w:val="18"/>
  </w:num>
  <w:num w:numId="18">
    <w:abstractNumId w:val="4"/>
    <w:lvlOverride w:ilvl="0">
      <w:lvl w:ilvl="0">
        <w:numFmt w:val="decimal"/>
        <w:lvlText w:val="%1."/>
        <w:lvlJc w:val="left"/>
      </w:lvl>
    </w:lvlOverride>
  </w:num>
  <w:num w:numId="19">
    <w:abstractNumId w:val="36"/>
  </w:num>
  <w:num w:numId="20">
    <w:abstractNumId w:val="19"/>
  </w:num>
  <w:num w:numId="21">
    <w:abstractNumId w:val="23"/>
  </w:num>
  <w:num w:numId="22">
    <w:abstractNumId w:val="30"/>
  </w:num>
  <w:num w:numId="23">
    <w:abstractNumId w:val="16"/>
  </w:num>
  <w:num w:numId="24">
    <w:abstractNumId w:val="5"/>
  </w:num>
  <w:num w:numId="25">
    <w:abstractNumId w:val="33"/>
  </w:num>
  <w:num w:numId="26">
    <w:abstractNumId w:val="34"/>
  </w:num>
  <w:num w:numId="27">
    <w:abstractNumId w:val="15"/>
  </w:num>
  <w:num w:numId="28">
    <w:abstractNumId w:val="38"/>
    <w:lvlOverride w:ilvl="0">
      <w:lvl w:ilvl="0">
        <w:numFmt w:val="decimal"/>
        <w:lvlText w:val="%1."/>
        <w:lvlJc w:val="left"/>
      </w:lvl>
    </w:lvlOverride>
  </w:num>
  <w:num w:numId="29">
    <w:abstractNumId w:val="26"/>
    <w:lvlOverride w:ilvl="0">
      <w:lvl w:ilvl="0">
        <w:numFmt w:val="decimal"/>
        <w:lvlText w:val="%1."/>
        <w:lvlJc w:val="left"/>
      </w:lvl>
    </w:lvlOverride>
  </w:num>
  <w:num w:numId="30">
    <w:abstractNumId w:val="29"/>
    <w:lvlOverride w:ilvl="0">
      <w:lvl w:ilvl="0">
        <w:numFmt w:val="decimal"/>
        <w:lvlText w:val="%1."/>
        <w:lvlJc w:val="left"/>
      </w:lvl>
    </w:lvlOverride>
  </w:num>
  <w:num w:numId="31">
    <w:abstractNumId w:val="11"/>
  </w:num>
  <w:num w:numId="32">
    <w:abstractNumId w:val="6"/>
  </w:num>
  <w:num w:numId="33">
    <w:abstractNumId w:val="13"/>
  </w:num>
  <w:num w:numId="34">
    <w:abstractNumId w:val="2"/>
  </w:num>
  <w:num w:numId="35">
    <w:abstractNumId w:val="28"/>
  </w:num>
  <w:num w:numId="36">
    <w:abstractNumId w:val="7"/>
  </w:num>
  <w:num w:numId="37">
    <w:abstractNumId w:val="37"/>
    <w:lvlOverride w:ilvl="0">
      <w:lvl w:ilvl="0">
        <w:numFmt w:val="decimal"/>
        <w:lvlText w:val="%1."/>
        <w:lvlJc w:val="left"/>
      </w:lvl>
    </w:lvlOverride>
  </w:num>
  <w:num w:numId="38">
    <w:abstractNumId w:val="40"/>
    <w:lvlOverride w:ilvl="0">
      <w:lvl w:ilvl="0">
        <w:numFmt w:val="decimal"/>
        <w:lvlText w:val="%1."/>
        <w:lvlJc w:val="left"/>
      </w:lvl>
    </w:lvlOverride>
  </w:num>
  <w:num w:numId="39">
    <w:abstractNumId w:val="22"/>
  </w:num>
  <w:num w:numId="40">
    <w:abstractNumId w:val="0"/>
  </w:num>
  <w:num w:numId="41">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92162"/>
  </w:hdrShapeDefaults>
  <w:footnotePr>
    <w:footnote w:id="-1"/>
    <w:footnote w:id="0"/>
  </w:footnotePr>
  <w:endnotePr>
    <w:endnote w:id="-1"/>
    <w:endnote w:id="0"/>
  </w:endnotePr>
  <w:compat/>
  <w:rsids>
    <w:rsidRoot w:val="000B4BC4"/>
    <w:rsid w:val="00017604"/>
    <w:rsid w:val="00024683"/>
    <w:rsid w:val="00025423"/>
    <w:rsid w:val="000269E4"/>
    <w:rsid w:val="00027D43"/>
    <w:rsid w:val="00030D24"/>
    <w:rsid w:val="000310B3"/>
    <w:rsid w:val="000358A2"/>
    <w:rsid w:val="00057DAD"/>
    <w:rsid w:val="00086695"/>
    <w:rsid w:val="00087C40"/>
    <w:rsid w:val="000953D7"/>
    <w:rsid w:val="000A0059"/>
    <w:rsid w:val="000A7124"/>
    <w:rsid w:val="000B4BC4"/>
    <w:rsid w:val="000B5D9A"/>
    <w:rsid w:val="000D0252"/>
    <w:rsid w:val="000D3A81"/>
    <w:rsid w:val="000D6E61"/>
    <w:rsid w:val="00105682"/>
    <w:rsid w:val="00110DE6"/>
    <w:rsid w:val="001161EE"/>
    <w:rsid w:val="001226D7"/>
    <w:rsid w:val="0013275F"/>
    <w:rsid w:val="001339D3"/>
    <w:rsid w:val="001339D8"/>
    <w:rsid w:val="00144695"/>
    <w:rsid w:val="0014578E"/>
    <w:rsid w:val="00147543"/>
    <w:rsid w:val="00155F5C"/>
    <w:rsid w:val="00173D16"/>
    <w:rsid w:val="00176994"/>
    <w:rsid w:val="00194CA0"/>
    <w:rsid w:val="001A48D1"/>
    <w:rsid w:val="001B70E3"/>
    <w:rsid w:val="001C0C9B"/>
    <w:rsid w:val="001C3EE7"/>
    <w:rsid w:val="001D3CE8"/>
    <w:rsid w:val="001F0B29"/>
    <w:rsid w:val="001F7114"/>
    <w:rsid w:val="00214B25"/>
    <w:rsid w:val="00214FF0"/>
    <w:rsid w:val="002345B0"/>
    <w:rsid w:val="002353D0"/>
    <w:rsid w:val="00236147"/>
    <w:rsid w:val="00237B7A"/>
    <w:rsid w:val="00240865"/>
    <w:rsid w:val="00253C17"/>
    <w:rsid w:val="002665F6"/>
    <w:rsid w:val="0027652D"/>
    <w:rsid w:val="00281400"/>
    <w:rsid w:val="00287515"/>
    <w:rsid w:val="00291360"/>
    <w:rsid w:val="00293153"/>
    <w:rsid w:val="00295153"/>
    <w:rsid w:val="002A3E8C"/>
    <w:rsid w:val="002A6D43"/>
    <w:rsid w:val="002C0F23"/>
    <w:rsid w:val="002C2A60"/>
    <w:rsid w:val="002C4306"/>
    <w:rsid w:val="002F2C92"/>
    <w:rsid w:val="002F3A84"/>
    <w:rsid w:val="00311B03"/>
    <w:rsid w:val="003128C1"/>
    <w:rsid w:val="00322590"/>
    <w:rsid w:val="00327C27"/>
    <w:rsid w:val="0033434C"/>
    <w:rsid w:val="00334D28"/>
    <w:rsid w:val="00337719"/>
    <w:rsid w:val="0034387C"/>
    <w:rsid w:val="0035527E"/>
    <w:rsid w:val="00355814"/>
    <w:rsid w:val="00357BC6"/>
    <w:rsid w:val="00360104"/>
    <w:rsid w:val="00364212"/>
    <w:rsid w:val="003648B1"/>
    <w:rsid w:val="00366AAF"/>
    <w:rsid w:val="00385646"/>
    <w:rsid w:val="003A5FEC"/>
    <w:rsid w:val="003B1C04"/>
    <w:rsid w:val="003B2FDB"/>
    <w:rsid w:val="003B4BB9"/>
    <w:rsid w:val="003C1D9F"/>
    <w:rsid w:val="003C40F7"/>
    <w:rsid w:val="003C53C6"/>
    <w:rsid w:val="003D0421"/>
    <w:rsid w:val="003D2A20"/>
    <w:rsid w:val="003D2DFD"/>
    <w:rsid w:val="003D4DA7"/>
    <w:rsid w:val="003D4DBB"/>
    <w:rsid w:val="003E0BAC"/>
    <w:rsid w:val="003E2DCB"/>
    <w:rsid w:val="003E7E03"/>
    <w:rsid w:val="003F050B"/>
    <w:rsid w:val="003F15FE"/>
    <w:rsid w:val="003F7CEF"/>
    <w:rsid w:val="004050D8"/>
    <w:rsid w:val="004126CA"/>
    <w:rsid w:val="00427771"/>
    <w:rsid w:val="00440FFC"/>
    <w:rsid w:val="00444400"/>
    <w:rsid w:val="004653C0"/>
    <w:rsid w:val="00466B08"/>
    <w:rsid w:val="00470449"/>
    <w:rsid w:val="00472008"/>
    <w:rsid w:val="00475E59"/>
    <w:rsid w:val="00481213"/>
    <w:rsid w:val="00493EB6"/>
    <w:rsid w:val="00494E60"/>
    <w:rsid w:val="004A0D91"/>
    <w:rsid w:val="004A2A31"/>
    <w:rsid w:val="004A4FDD"/>
    <w:rsid w:val="004B17B8"/>
    <w:rsid w:val="004C040F"/>
    <w:rsid w:val="004C217C"/>
    <w:rsid w:val="004F203B"/>
    <w:rsid w:val="004F3150"/>
    <w:rsid w:val="0052267C"/>
    <w:rsid w:val="0052452C"/>
    <w:rsid w:val="00524D2A"/>
    <w:rsid w:val="00526B61"/>
    <w:rsid w:val="0053508D"/>
    <w:rsid w:val="00546398"/>
    <w:rsid w:val="005733C9"/>
    <w:rsid w:val="005762AB"/>
    <w:rsid w:val="00587DD6"/>
    <w:rsid w:val="00597E9C"/>
    <w:rsid w:val="005C795D"/>
    <w:rsid w:val="005D692F"/>
    <w:rsid w:val="005D7229"/>
    <w:rsid w:val="005D7673"/>
    <w:rsid w:val="005E0DCB"/>
    <w:rsid w:val="005E2BA0"/>
    <w:rsid w:val="005F5BFF"/>
    <w:rsid w:val="00604D78"/>
    <w:rsid w:val="006077AE"/>
    <w:rsid w:val="00626E3A"/>
    <w:rsid w:val="00643AF1"/>
    <w:rsid w:val="00643DF5"/>
    <w:rsid w:val="0066343B"/>
    <w:rsid w:val="00694D10"/>
    <w:rsid w:val="006A1101"/>
    <w:rsid w:val="006B2E5D"/>
    <w:rsid w:val="006C1641"/>
    <w:rsid w:val="006C516D"/>
    <w:rsid w:val="006D63FB"/>
    <w:rsid w:val="006E11F2"/>
    <w:rsid w:val="006E3159"/>
    <w:rsid w:val="006F08EE"/>
    <w:rsid w:val="006F2690"/>
    <w:rsid w:val="006F2CFD"/>
    <w:rsid w:val="006F63BB"/>
    <w:rsid w:val="007114AF"/>
    <w:rsid w:val="0072338C"/>
    <w:rsid w:val="00730482"/>
    <w:rsid w:val="00764CBE"/>
    <w:rsid w:val="00784272"/>
    <w:rsid w:val="007C0B82"/>
    <w:rsid w:val="007E0CAA"/>
    <w:rsid w:val="00803E04"/>
    <w:rsid w:val="00813AA5"/>
    <w:rsid w:val="00835D77"/>
    <w:rsid w:val="00847FD3"/>
    <w:rsid w:val="00852C46"/>
    <w:rsid w:val="00865FFB"/>
    <w:rsid w:val="0087713C"/>
    <w:rsid w:val="00883863"/>
    <w:rsid w:val="00887909"/>
    <w:rsid w:val="0089158A"/>
    <w:rsid w:val="00894858"/>
    <w:rsid w:val="00895773"/>
    <w:rsid w:val="008A39FC"/>
    <w:rsid w:val="008A40B7"/>
    <w:rsid w:val="008C44FC"/>
    <w:rsid w:val="008C4E87"/>
    <w:rsid w:val="008C685A"/>
    <w:rsid w:val="008E0C0C"/>
    <w:rsid w:val="008E578C"/>
    <w:rsid w:val="008E58EE"/>
    <w:rsid w:val="008F0440"/>
    <w:rsid w:val="008F0E3F"/>
    <w:rsid w:val="008F2724"/>
    <w:rsid w:val="008F6312"/>
    <w:rsid w:val="008F7CD6"/>
    <w:rsid w:val="00913EA6"/>
    <w:rsid w:val="00914111"/>
    <w:rsid w:val="00920B71"/>
    <w:rsid w:val="00922E21"/>
    <w:rsid w:val="009273FC"/>
    <w:rsid w:val="00927455"/>
    <w:rsid w:val="00931F00"/>
    <w:rsid w:val="00933B6B"/>
    <w:rsid w:val="00943626"/>
    <w:rsid w:val="00944B76"/>
    <w:rsid w:val="009606CD"/>
    <w:rsid w:val="009677D4"/>
    <w:rsid w:val="00973258"/>
    <w:rsid w:val="00975870"/>
    <w:rsid w:val="00991A7E"/>
    <w:rsid w:val="00995591"/>
    <w:rsid w:val="009A1C9D"/>
    <w:rsid w:val="009A66B8"/>
    <w:rsid w:val="009B0246"/>
    <w:rsid w:val="009B7461"/>
    <w:rsid w:val="009C4A26"/>
    <w:rsid w:val="009E527E"/>
    <w:rsid w:val="009F2B12"/>
    <w:rsid w:val="00A06153"/>
    <w:rsid w:val="00A44BC7"/>
    <w:rsid w:val="00A542F8"/>
    <w:rsid w:val="00A619B8"/>
    <w:rsid w:val="00A62472"/>
    <w:rsid w:val="00A665FC"/>
    <w:rsid w:val="00A83812"/>
    <w:rsid w:val="00AA5AA5"/>
    <w:rsid w:val="00AB00FE"/>
    <w:rsid w:val="00AB2FAA"/>
    <w:rsid w:val="00AB663F"/>
    <w:rsid w:val="00AC5C14"/>
    <w:rsid w:val="00AC647F"/>
    <w:rsid w:val="00AD093E"/>
    <w:rsid w:val="00AD4EF4"/>
    <w:rsid w:val="00AE78C9"/>
    <w:rsid w:val="00B22996"/>
    <w:rsid w:val="00B23360"/>
    <w:rsid w:val="00B260C2"/>
    <w:rsid w:val="00B3054B"/>
    <w:rsid w:val="00B309A1"/>
    <w:rsid w:val="00B34D49"/>
    <w:rsid w:val="00B36AE2"/>
    <w:rsid w:val="00B41972"/>
    <w:rsid w:val="00B451CC"/>
    <w:rsid w:val="00B5405C"/>
    <w:rsid w:val="00B8046E"/>
    <w:rsid w:val="00B9158C"/>
    <w:rsid w:val="00BA1136"/>
    <w:rsid w:val="00BA6A06"/>
    <w:rsid w:val="00BB0C3B"/>
    <w:rsid w:val="00BC100A"/>
    <w:rsid w:val="00BC2A10"/>
    <w:rsid w:val="00BC45CD"/>
    <w:rsid w:val="00BC5227"/>
    <w:rsid w:val="00BD1360"/>
    <w:rsid w:val="00BE7D34"/>
    <w:rsid w:val="00BF4F2F"/>
    <w:rsid w:val="00BF5207"/>
    <w:rsid w:val="00C015AA"/>
    <w:rsid w:val="00C02460"/>
    <w:rsid w:val="00C2395C"/>
    <w:rsid w:val="00C47BBF"/>
    <w:rsid w:val="00C61872"/>
    <w:rsid w:val="00C63E6E"/>
    <w:rsid w:val="00C67EB9"/>
    <w:rsid w:val="00C76042"/>
    <w:rsid w:val="00C85D49"/>
    <w:rsid w:val="00CA7B2E"/>
    <w:rsid w:val="00CC1005"/>
    <w:rsid w:val="00CC33D9"/>
    <w:rsid w:val="00CD0B23"/>
    <w:rsid w:val="00CE2431"/>
    <w:rsid w:val="00CF11F0"/>
    <w:rsid w:val="00D0078D"/>
    <w:rsid w:val="00D31DA4"/>
    <w:rsid w:val="00D44DAB"/>
    <w:rsid w:val="00D45E9F"/>
    <w:rsid w:val="00D626B6"/>
    <w:rsid w:val="00D63167"/>
    <w:rsid w:val="00D64AE4"/>
    <w:rsid w:val="00D67D45"/>
    <w:rsid w:val="00D82BE5"/>
    <w:rsid w:val="00D853F6"/>
    <w:rsid w:val="00DA0BD5"/>
    <w:rsid w:val="00DA24DE"/>
    <w:rsid w:val="00DA5968"/>
    <w:rsid w:val="00DA7404"/>
    <w:rsid w:val="00DB7DA8"/>
    <w:rsid w:val="00DC2C2A"/>
    <w:rsid w:val="00DC529A"/>
    <w:rsid w:val="00DC6118"/>
    <w:rsid w:val="00DD0405"/>
    <w:rsid w:val="00DD2F79"/>
    <w:rsid w:val="00DD3DF8"/>
    <w:rsid w:val="00DD4337"/>
    <w:rsid w:val="00DD44CF"/>
    <w:rsid w:val="00DE2142"/>
    <w:rsid w:val="00DF196C"/>
    <w:rsid w:val="00DF5C67"/>
    <w:rsid w:val="00E01448"/>
    <w:rsid w:val="00E075B7"/>
    <w:rsid w:val="00E1352A"/>
    <w:rsid w:val="00E1612F"/>
    <w:rsid w:val="00E16722"/>
    <w:rsid w:val="00E21232"/>
    <w:rsid w:val="00E3176D"/>
    <w:rsid w:val="00E33EEE"/>
    <w:rsid w:val="00E42B85"/>
    <w:rsid w:val="00E52406"/>
    <w:rsid w:val="00E604EC"/>
    <w:rsid w:val="00E62A60"/>
    <w:rsid w:val="00E909D9"/>
    <w:rsid w:val="00EA4948"/>
    <w:rsid w:val="00EA7339"/>
    <w:rsid w:val="00EC01F9"/>
    <w:rsid w:val="00EC1532"/>
    <w:rsid w:val="00EC324B"/>
    <w:rsid w:val="00ED42A4"/>
    <w:rsid w:val="00ED46F3"/>
    <w:rsid w:val="00EF7CA9"/>
    <w:rsid w:val="00F027D7"/>
    <w:rsid w:val="00F25AB0"/>
    <w:rsid w:val="00F26EB7"/>
    <w:rsid w:val="00F27DB3"/>
    <w:rsid w:val="00F45CC0"/>
    <w:rsid w:val="00F577B6"/>
    <w:rsid w:val="00F75979"/>
    <w:rsid w:val="00F77668"/>
    <w:rsid w:val="00F77C94"/>
    <w:rsid w:val="00F921C6"/>
    <w:rsid w:val="00F93CF3"/>
    <w:rsid w:val="00FA4A7C"/>
    <w:rsid w:val="00FA5050"/>
    <w:rsid w:val="00FB2195"/>
    <w:rsid w:val="00FB6982"/>
    <w:rsid w:val="00FC6511"/>
    <w:rsid w:val="00FF02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60"/>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1">
    <w:name w:val="heading 1"/>
    <w:basedOn w:val="Normal"/>
    <w:next w:val="Normal"/>
    <w:link w:val="Titre1Car"/>
    <w:uiPriority w:val="9"/>
    <w:qFormat/>
    <w:rsid w:val="009436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3434C"/>
    <w:pPr>
      <w:widowControl/>
      <w:autoSpaceDE/>
      <w:autoSpaceDN/>
      <w:adjustRightInd/>
      <w:spacing w:before="100" w:beforeAutospacing="1" w:after="100" w:afterAutospacing="1"/>
      <w:jc w:val="left"/>
      <w:outlineLvl w:val="1"/>
    </w:pPr>
    <w:rPr>
      <w:rFonts w:cs="Times New Roman"/>
      <w:b/>
      <w:bCs/>
      <w:sz w:val="36"/>
      <w:szCs w:val="36"/>
    </w:rPr>
  </w:style>
  <w:style w:type="paragraph" w:styleId="Titre3">
    <w:name w:val="heading 3"/>
    <w:basedOn w:val="Normal"/>
    <w:next w:val="Normal"/>
    <w:link w:val="Titre3Car"/>
    <w:uiPriority w:val="9"/>
    <w:semiHidden/>
    <w:unhideWhenUsed/>
    <w:qFormat/>
    <w:rsid w:val="001226D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4BC4"/>
    <w:rPr>
      <w:rFonts w:ascii="Tahoma" w:hAnsi="Tahoma" w:cs="Tahoma"/>
      <w:sz w:val="16"/>
      <w:szCs w:val="16"/>
    </w:rPr>
  </w:style>
  <w:style w:type="character" w:customStyle="1" w:styleId="TextedebullesCar">
    <w:name w:val="Texte de bulles Car"/>
    <w:basedOn w:val="Policepardfaut"/>
    <w:link w:val="Textedebulles"/>
    <w:uiPriority w:val="99"/>
    <w:semiHidden/>
    <w:rsid w:val="000B4BC4"/>
    <w:rPr>
      <w:rFonts w:ascii="Tahoma" w:hAnsi="Tahoma" w:cs="Tahoma"/>
      <w:sz w:val="16"/>
      <w:szCs w:val="16"/>
      <w:lang w:eastAsia="fr-FR"/>
    </w:rPr>
  </w:style>
  <w:style w:type="paragraph" w:styleId="En-tte">
    <w:name w:val="header"/>
    <w:basedOn w:val="Normal"/>
    <w:link w:val="En-tteCar"/>
    <w:uiPriority w:val="99"/>
    <w:unhideWhenUsed/>
    <w:rsid w:val="000B4BC4"/>
    <w:pPr>
      <w:tabs>
        <w:tab w:val="center" w:pos="4536"/>
        <w:tab w:val="right" w:pos="9072"/>
      </w:tabs>
    </w:pPr>
  </w:style>
  <w:style w:type="character" w:customStyle="1" w:styleId="En-tteCar">
    <w:name w:val="En-tête Car"/>
    <w:basedOn w:val="Policepardfaut"/>
    <w:link w:val="En-tte"/>
    <w:uiPriority w:val="99"/>
    <w:rsid w:val="000B4BC4"/>
    <w:rPr>
      <w:rFonts w:ascii="Times New Roman" w:hAnsi="Times New Roman" w:cs="Arial"/>
      <w:sz w:val="24"/>
      <w:lang w:eastAsia="fr-FR"/>
    </w:rPr>
  </w:style>
  <w:style w:type="paragraph" w:styleId="Pieddepage">
    <w:name w:val="footer"/>
    <w:basedOn w:val="Normal"/>
    <w:link w:val="PieddepageCar"/>
    <w:uiPriority w:val="99"/>
    <w:semiHidden/>
    <w:unhideWhenUsed/>
    <w:rsid w:val="000B4BC4"/>
    <w:pPr>
      <w:tabs>
        <w:tab w:val="center" w:pos="4536"/>
        <w:tab w:val="right" w:pos="9072"/>
      </w:tabs>
    </w:pPr>
  </w:style>
  <w:style w:type="character" w:customStyle="1" w:styleId="PieddepageCar">
    <w:name w:val="Pied de page Car"/>
    <w:basedOn w:val="Policepardfaut"/>
    <w:link w:val="Pieddepage"/>
    <w:uiPriority w:val="99"/>
    <w:semiHidden/>
    <w:rsid w:val="000B4BC4"/>
    <w:rPr>
      <w:rFonts w:ascii="Times New Roman" w:hAnsi="Times New Roman" w:cs="Arial"/>
      <w:sz w:val="24"/>
      <w:lang w:eastAsia="fr-FR"/>
    </w:rPr>
  </w:style>
  <w:style w:type="character" w:styleId="Textedelespacerserv">
    <w:name w:val="Placeholder Text"/>
    <w:basedOn w:val="Policepardfaut"/>
    <w:uiPriority w:val="99"/>
    <w:semiHidden/>
    <w:rsid w:val="00DD44CF"/>
    <w:rPr>
      <w:color w:val="808080"/>
    </w:rPr>
  </w:style>
  <w:style w:type="character" w:customStyle="1" w:styleId="Titre2Car">
    <w:name w:val="Titre 2 Car"/>
    <w:basedOn w:val="Policepardfaut"/>
    <w:link w:val="Titre2"/>
    <w:uiPriority w:val="9"/>
    <w:rsid w:val="0033434C"/>
    <w:rPr>
      <w:rFonts w:ascii="Times New Roman" w:hAnsi="Times New Roman" w:cs="Times New Roman"/>
      <w:b/>
      <w:bCs/>
      <w:sz w:val="36"/>
      <w:szCs w:val="36"/>
      <w:lang w:eastAsia="fr-FR"/>
    </w:rPr>
  </w:style>
  <w:style w:type="character" w:styleId="Lienhypertexte">
    <w:name w:val="Hyperlink"/>
    <w:basedOn w:val="Policepardfaut"/>
    <w:uiPriority w:val="99"/>
    <w:unhideWhenUsed/>
    <w:rsid w:val="003648B1"/>
    <w:rPr>
      <w:color w:val="0000FF" w:themeColor="hyperlink"/>
      <w:u w:val="single"/>
    </w:rPr>
  </w:style>
  <w:style w:type="paragraph" w:styleId="Paragraphedeliste">
    <w:name w:val="List Paragraph"/>
    <w:basedOn w:val="Normal"/>
    <w:uiPriority w:val="34"/>
    <w:qFormat/>
    <w:rsid w:val="003648B1"/>
    <w:pPr>
      <w:ind w:left="720"/>
      <w:contextualSpacing/>
    </w:pPr>
  </w:style>
  <w:style w:type="character" w:styleId="Lienhypertextesuivivisit">
    <w:name w:val="FollowedHyperlink"/>
    <w:basedOn w:val="Policepardfaut"/>
    <w:uiPriority w:val="99"/>
    <w:semiHidden/>
    <w:unhideWhenUsed/>
    <w:rsid w:val="00784272"/>
    <w:rPr>
      <w:color w:val="800080" w:themeColor="followedHyperlink"/>
      <w:u w:val="single"/>
    </w:rPr>
  </w:style>
  <w:style w:type="table" w:styleId="Grilledutableau">
    <w:name w:val="Table Grid"/>
    <w:basedOn w:val="TableauNormal"/>
    <w:uiPriority w:val="59"/>
    <w:rsid w:val="0036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
    <w:name w:val="txt"/>
    <w:basedOn w:val="Policepardfaut"/>
    <w:rsid w:val="00835D77"/>
  </w:style>
  <w:style w:type="paragraph" w:styleId="NormalWeb">
    <w:name w:val="Normal (Web)"/>
    <w:basedOn w:val="Normal"/>
    <w:uiPriority w:val="99"/>
    <w:unhideWhenUsed/>
    <w:rsid w:val="00FB6982"/>
    <w:pPr>
      <w:widowControl/>
      <w:autoSpaceDE/>
      <w:autoSpaceDN/>
      <w:adjustRightInd/>
      <w:spacing w:before="100" w:beforeAutospacing="1" w:after="100" w:afterAutospacing="1"/>
      <w:jc w:val="left"/>
    </w:pPr>
    <w:rPr>
      <w:rFonts w:cs="Times New Roman"/>
      <w:szCs w:val="24"/>
    </w:rPr>
  </w:style>
  <w:style w:type="paragraph" w:customStyle="1" w:styleId="lastp">
    <w:name w:val="lastp"/>
    <w:basedOn w:val="Normal"/>
    <w:rsid w:val="00FB6982"/>
    <w:pPr>
      <w:widowControl/>
      <w:autoSpaceDE/>
      <w:autoSpaceDN/>
      <w:adjustRightInd/>
      <w:spacing w:before="100" w:beforeAutospacing="1" w:after="100" w:afterAutospacing="1"/>
      <w:jc w:val="left"/>
    </w:pPr>
    <w:rPr>
      <w:rFonts w:cs="Times New Roman"/>
      <w:szCs w:val="24"/>
    </w:rPr>
  </w:style>
  <w:style w:type="paragraph" w:customStyle="1" w:styleId="size-10">
    <w:name w:val="size-10"/>
    <w:basedOn w:val="Normal"/>
    <w:rsid w:val="0052267C"/>
    <w:pPr>
      <w:widowControl/>
      <w:autoSpaceDE/>
      <w:autoSpaceDN/>
      <w:adjustRightInd/>
      <w:spacing w:before="100" w:beforeAutospacing="1" w:after="100" w:afterAutospacing="1"/>
      <w:jc w:val="left"/>
    </w:pPr>
    <w:rPr>
      <w:rFonts w:cs="Times New Roman"/>
      <w:szCs w:val="24"/>
    </w:rPr>
  </w:style>
  <w:style w:type="character" w:styleId="lev">
    <w:name w:val="Strong"/>
    <w:basedOn w:val="Policepardfaut"/>
    <w:uiPriority w:val="22"/>
    <w:qFormat/>
    <w:rsid w:val="0052267C"/>
    <w:rPr>
      <w:b/>
      <w:bCs/>
    </w:rPr>
  </w:style>
  <w:style w:type="character" w:customStyle="1" w:styleId="Titre3Car">
    <w:name w:val="Titre 3 Car"/>
    <w:basedOn w:val="Policepardfaut"/>
    <w:link w:val="Titre3"/>
    <w:uiPriority w:val="9"/>
    <w:semiHidden/>
    <w:rsid w:val="001226D7"/>
    <w:rPr>
      <w:rFonts w:asciiTheme="majorHAnsi" w:eastAsiaTheme="majorEastAsia" w:hAnsiTheme="majorHAnsi" w:cstheme="majorBidi"/>
      <w:b/>
      <w:bCs/>
      <w:color w:val="4F81BD" w:themeColor="accent1"/>
      <w:sz w:val="24"/>
      <w:lang w:eastAsia="fr-FR"/>
    </w:rPr>
  </w:style>
  <w:style w:type="character" w:customStyle="1" w:styleId="Titre1Car">
    <w:name w:val="Titre 1 Car"/>
    <w:basedOn w:val="Policepardfaut"/>
    <w:link w:val="Titre1"/>
    <w:uiPriority w:val="9"/>
    <w:rsid w:val="00943626"/>
    <w:rPr>
      <w:rFonts w:asciiTheme="majorHAnsi" w:eastAsiaTheme="majorEastAsia" w:hAnsiTheme="majorHAnsi" w:cstheme="majorBidi"/>
      <w:b/>
      <w:bCs/>
      <w:color w:val="365F91" w:themeColor="accent1" w:themeShade="BF"/>
      <w:sz w:val="28"/>
      <w:szCs w:val="28"/>
      <w:lang w:eastAsia="fr-FR"/>
    </w:rPr>
  </w:style>
  <w:style w:type="paragraph" w:customStyle="1" w:styleId="spip">
    <w:name w:val="spip"/>
    <w:basedOn w:val="Normal"/>
    <w:rsid w:val="009B7461"/>
    <w:pPr>
      <w:widowControl/>
      <w:autoSpaceDE/>
      <w:autoSpaceDN/>
      <w:adjustRightInd/>
      <w:spacing w:before="100" w:beforeAutospacing="1" w:after="100" w:afterAutospacing="1"/>
      <w:jc w:val="left"/>
    </w:pPr>
    <w:rPr>
      <w:rFonts w:cs="Times New Roman"/>
      <w:szCs w:val="24"/>
    </w:rPr>
  </w:style>
  <w:style w:type="character" w:customStyle="1" w:styleId="definition">
    <w:name w:val="definition"/>
    <w:basedOn w:val="Policepardfaut"/>
    <w:rsid w:val="00355814"/>
  </w:style>
  <w:style w:type="character" w:customStyle="1" w:styleId="blocdef">
    <w:name w:val="bloc_def"/>
    <w:basedOn w:val="Policepardfaut"/>
    <w:rsid w:val="00355814"/>
  </w:style>
  <w:style w:type="character" w:customStyle="1" w:styleId="list">
    <w:name w:val="list"/>
    <w:basedOn w:val="Policepardfaut"/>
    <w:rsid w:val="00017604"/>
  </w:style>
  <w:style w:type="paragraph" w:customStyle="1" w:styleId="mentions">
    <w:name w:val="mentions"/>
    <w:basedOn w:val="Normal"/>
    <w:rsid w:val="00B23360"/>
    <w:pPr>
      <w:widowControl/>
      <w:autoSpaceDE/>
      <w:autoSpaceDN/>
      <w:adjustRightInd/>
      <w:spacing w:before="100" w:beforeAutospacing="1" w:after="100" w:afterAutospacing="1"/>
      <w:jc w:val="left"/>
    </w:pPr>
    <w:rPr>
      <w:rFonts w:cs="Times New Roman"/>
      <w:szCs w:val="24"/>
    </w:rPr>
  </w:style>
  <w:style w:type="paragraph" w:customStyle="1" w:styleId="xl64">
    <w:name w:val="xl64"/>
    <w:basedOn w:val="Normal"/>
    <w:rsid w:val="006F2690"/>
    <w:pPr>
      <w:widowControl/>
      <w:autoSpaceDE/>
      <w:autoSpaceDN/>
      <w:adjustRightInd/>
      <w:spacing w:before="100" w:beforeAutospacing="1" w:after="100" w:afterAutospacing="1"/>
      <w:jc w:val="left"/>
    </w:pPr>
    <w:rPr>
      <w:rFonts w:ascii="Arial" w:hAnsi="Arial"/>
      <w:szCs w:val="24"/>
    </w:rPr>
  </w:style>
  <w:style w:type="paragraph" w:customStyle="1" w:styleId="xl65">
    <w:name w:val="xl65"/>
    <w:basedOn w:val="Normal"/>
    <w:rsid w:val="006F2690"/>
    <w:pPr>
      <w:widowControl/>
      <w:autoSpaceDE/>
      <w:autoSpaceDN/>
      <w:adjustRightInd/>
      <w:spacing w:before="100" w:beforeAutospacing="1" w:after="100" w:afterAutospacing="1"/>
      <w:jc w:val="left"/>
    </w:pPr>
    <w:rPr>
      <w:rFonts w:ascii="Arial" w:hAnsi="Arial"/>
      <w:b/>
      <w:bCs/>
      <w:szCs w:val="24"/>
    </w:rPr>
  </w:style>
  <w:style w:type="paragraph" w:customStyle="1" w:styleId="xl66">
    <w:name w:val="xl66"/>
    <w:basedOn w:val="Normal"/>
    <w:rsid w:val="006F2690"/>
    <w:pPr>
      <w:widowControl/>
      <w:autoSpaceDE/>
      <w:autoSpaceDN/>
      <w:adjustRightInd/>
      <w:spacing w:before="100" w:beforeAutospacing="1" w:after="100" w:afterAutospacing="1"/>
      <w:jc w:val="right"/>
    </w:pPr>
    <w:rPr>
      <w:rFonts w:ascii="Arial" w:hAnsi="Arial"/>
      <w:szCs w:val="24"/>
    </w:rPr>
  </w:style>
  <w:style w:type="paragraph" w:styleId="Sansinterligne">
    <w:name w:val="No Spacing"/>
    <w:uiPriority w:val="1"/>
    <w:qFormat/>
    <w:rsid w:val="00A542F8"/>
    <w:pPr>
      <w:widowControl w:val="0"/>
      <w:autoSpaceDE w:val="0"/>
      <w:autoSpaceDN w:val="0"/>
      <w:adjustRightInd w:val="0"/>
      <w:spacing w:after="0" w:line="240" w:lineRule="auto"/>
      <w:jc w:val="both"/>
    </w:pPr>
    <w:rPr>
      <w:rFonts w:ascii="Times New Roman" w:hAnsi="Times New Roman" w:cs="Arial"/>
      <w:sz w:val="24"/>
      <w:lang w:eastAsia="fr-FR"/>
    </w:rPr>
  </w:style>
</w:styles>
</file>

<file path=word/webSettings.xml><?xml version="1.0" encoding="utf-8"?>
<w:webSettings xmlns:r="http://schemas.openxmlformats.org/officeDocument/2006/relationships" xmlns:w="http://schemas.openxmlformats.org/wordprocessingml/2006/main">
  <w:divs>
    <w:div w:id="59138081">
      <w:bodyDiv w:val="1"/>
      <w:marLeft w:val="0"/>
      <w:marRight w:val="0"/>
      <w:marTop w:val="0"/>
      <w:marBottom w:val="0"/>
      <w:divBdr>
        <w:top w:val="none" w:sz="0" w:space="0" w:color="auto"/>
        <w:left w:val="none" w:sz="0" w:space="0" w:color="auto"/>
        <w:bottom w:val="none" w:sz="0" w:space="0" w:color="auto"/>
        <w:right w:val="none" w:sz="0" w:space="0" w:color="auto"/>
      </w:divBdr>
    </w:div>
    <w:div w:id="94136445">
      <w:bodyDiv w:val="1"/>
      <w:marLeft w:val="0"/>
      <w:marRight w:val="0"/>
      <w:marTop w:val="0"/>
      <w:marBottom w:val="0"/>
      <w:divBdr>
        <w:top w:val="none" w:sz="0" w:space="0" w:color="auto"/>
        <w:left w:val="none" w:sz="0" w:space="0" w:color="auto"/>
        <w:bottom w:val="none" w:sz="0" w:space="0" w:color="auto"/>
        <w:right w:val="none" w:sz="0" w:space="0" w:color="auto"/>
      </w:divBdr>
    </w:div>
    <w:div w:id="121506053">
      <w:bodyDiv w:val="1"/>
      <w:marLeft w:val="0"/>
      <w:marRight w:val="0"/>
      <w:marTop w:val="0"/>
      <w:marBottom w:val="0"/>
      <w:divBdr>
        <w:top w:val="none" w:sz="0" w:space="0" w:color="auto"/>
        <w:left w:val="none" w:sz="0" w:space="0" w:color="auto"/>
        <w:bottom w:val="none" w:sz="0" w:space="0" w:color="auto"/>
        <w:right w:val="none" w:sz="0" w:space="0" w:color="auto"/>
      </w:divBdr>
    </w:div>
    <w:div w:id="136606615">
      <w:bodyDiv w:val="1"/>
      <w:marLeft w:val="0"/>
      <w:marRight w:val="0"/>
      <w:marTop w:val="0"/>
      <w:marBottom w:val="0"/>
      <w:divBdr>
        <w:top w:val="none" w:sz="0" w:space="0" w:color="auto"/>
        <w:left w:val="none" w:sz="0" w:space="0" w:color="auto"/>
        <w:bottom w:val="none" w:sz="0" w:space="0" w:color="auto"/>
        <w:right w:val="none" w:sz="0" w:space="0" w:color="auto"/>
      </w:divBdr>
    </w:div>
    <w:div w:id="141318025">
      <w:bodyDiv w:val="1"/>
      <w:marLeft w:val="0"/>
      <w:marRight w:val="0"/>
      <w:marTop w:val="0"/>
      <w:marBottom w:val="0"/>
      <w:divBdr>
        <w:top w:val="none" w:sz="0" w:space="0" w:color="auto"/>
        <w:left w:val="none" w:sz="0" w:space="0" w:color="auto"/>
        <w:bottom w:val="none" w:sz="0" w:space="0" w:color="auto"/>
        <w:right w:val="none" w:sz="0" w:space="0" w:color="auto"/>
      </w:divBdr>
    </w:div>
    <w:div w:id="142088320">
      <w:bodyDiv w:val="1"/>
      <w:marLeft w:val="0"/>
      <w:marRight w:val="0"/>
      <w:marTop w:val="0"/>
      <w:marBottom w:val="0"/>
      <w:divBdr>
        <w:top w:val="none" w:sz="0" w:space="0" w:color="auto"/>
        <w:left w:val="none" w:sz="0" w:space="0" w:color="auto"/>
        <w:bottom w:val="none" w:sz="0" w:space="0" w:color="auto"/>
        <w:right w:val="none" w:sz="0" w:space="0" w:color="auto"/>
      </w:divBdr>
      <w:divsChild>
        <w:div w:id="1762986779">
          <w:marLeft w:val="0"/>
          <w:marRight w:val="0"/>
          <w:marTop w:val="0"/>
          <w:marBottom w:val="0"/>
          <w:divBdr>
            <w:top w:val="none" w:sz="0" w:space="0" w:color="auto"/>
            <w:left w:val="none" w:sz="0" w:space="0" w:color="auto"/>
            <w:bottom w:val="none" w:sz="0" w:space="0" w:color="auto"/>
            <w:right w:val="none" w:sz="0" w:space="0" w:color="auto"/>
          </w:divBdr>
          <w:divsChild>
            <w:div w:id="14878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6157">
      <w:bodyDiv w:val="1"/>
      <w:marLeft w:val="0"/>
      <w:marRight w:val="0"/>
      <w:marTop w:val="0"/>
      <w:marBottom w:val="0"/>
      <w:divBdr>
        <w:top w:val="none" w:sz="0" w:space="0" w:color="auto"/>
        <w:left w:val="none" w:sz="0" w:space="0" w:color="auto"/>
        <w:bottom w:val="none" w:sz="0" w:space="0" w:color="auto"/>
        <w:right w:val="none" w:sz="0" w:space="0" w:color="auto"/>
      </w:divBdr>
    </w:div>
    <w:div w:id="223417034">
      <w:bodyDiv w:val="1"/>
      <w:marLeft w:val="0"/>
      <w:marRight w:val="0"/>
      <w:marTop w:val="0"/>
      <w:marBottom w:val="0"/>
      <w:divBdr>
        <w:top w:val="none" w:sz="0" w:space="0" w:color="auto"/>
        <w:left w:val="none" w:sz="0" w:space="0" w:color="auto"/>
        <w:bottom w:val="none" w:sz="0" w:space="0" w:color="auto"/>
        <w:right w:val="none" w:sz="0" w:space="0" w:color="auto"/>
      </w:divBdr>
    </w:div>
    <w:div w:id="242880995">
      <w:bodyDiv w:val="1"/>
      <w:marLeft w:val="0"/>
      <w:marRight w:val="0"/>
      <w:marTop w:val="0"/>
      <w:marBottom w:val="0"/>
      <w:divBdr>
        <w:top w:val="none" w:sz="0" w:space="0" w:color="auto"/>
        <w:left w:val="none" w:sz="0" w:space="0" w:color="auto"/>
        <w:bottom w:val="none" w:sz="0" w:space="0" w:color="auto"/>
        <w:right w:val="none" w:sz="0" w:space="0" w:color="auto"/>
      </w:divBdr>
      <w:divsChild>
        <w:div w:id="1623270603">
          <w:marLeft w:val="0"/>
          <w:marRight w:val="0"/>
          <w:marTop w:val="0"/>
          <w:marBottom w:val="0"/>
          <w:divBdr>
            <w:top w:val="none" w:sz="0" w:space="0" w:color="auto"/>
            <w:left w:val="none" w:sz="0" w:space="0" w:color="auto"/>
            <w:bottom w:val="none" w:sz="0" w:space="0" w:color="auto"/>
            <w:right w:val="none" w:sz="0" w:space="0" w:color="auto"/>
          </w:divBdr>
        </w:div>
      </w:divsChild>
    </w:div>
    <w:div w:id="307588179">
      <w:bodyDiv w:val="1"/>
      <w:marLeft w:val="0"/>
      <w:marRight w:val="0"/>
      <w:marTop w:val="0"/>
      <w:marBottom w:val="0"/>
      <w:divBdr>
        <w:top w:val="none" w:sz="0" w:space="0" w:color="auto"/>
        <w:left w:val="none" w:sz="0" w:space="0" w:color="auto"/>
        <w:bottom w:val="none" w:sz="0" w:space="0" w:color="auto"/>
        <w:right w:val="none" w:sz="0" w:space="0" w:color="auto"/>
      </w:divBdr>
    </w:div>
    <w:div w:id="315185700">
      <w:bodyDiv w:val="1"/>
      <w:marLeft w:val="0"/>
      <w:marRight w:val="0"/>
      <w:marTop w:val="0"/>
      <w:marBottom w:val="0"/>
      <w:divBdr>
        <w:top w:val="none" w:sz="0" w:space="0" w:color="auto"/>
        <w:left w:val="none" w:sz="0" w:space="0" w:color="auto"/>
        <w:bottom w:val="none" w:sz="0" w:space="0" w:color="auto"/>
        <w:right w:val="none" w:sz="0" w:space="0" w:color="auto"/>
      </w:divBdr>
    </w:div>
    <w:div w:id="348724283">
      <w:bodyDiv w:val="1"/>
      <w:marLeft w:val="0"/>
      <w:marRight w:val="0"/>
      <w:marTop w:val="0"/>
      <w:marBottom w:val="0"/>
      <w:divBdr>
        <w:top w:val="none" w:sz="0" w:space="0" w:color="auto"/>
        <w:left w:val="none" w:sz="0" w:space="0" w:color="auto"/>
        <w:bottom w:val="none" w:sz="0" w:space="0" w:color="auto"/>
        <w:right w:val="none" w:sz="0" w:space="0" w:color="auto"/>
      </w:divBdr>
      <w:divsChild>
        <w:div w:id="1680501392">
          <w:marLeft w:val="0"/>
          <w:marRight w:val="0"/>
          <w:marTop w:val="0"/>
          <w:marBottom w:val="0"/>
          <w:divBdr>
            <w:top w:val="none" w:sz="0" w:space="0" w:color="auto"/>
            <w:left w:val="none" w:sz="0" w:space="0" w:color="auto"/>
            <w:bottom w:val="none" w:sz="0" w:space="0" w:color="auto"/>
            <w:right w:val="none" w:sz="0" w:space="0" w:color="auto"/>
          </w:divBdr>
        </w:div>
        <w:div w:id="848057202">
          <w:marLeft w:val="0"/>
          <w:marRight w:val="0"/>
          <w:marTop w:val="0"/>
          <w:marBottom w:val="0"/>
          <w:divBdr>
            <w:top w:val="none" w:sz="0" w:space="0" w:color="auto"/>
            <w:left w:val="none" w:sz="0" w:space="0" w:color="auto"/>
            <w:bottom w:val="none" w:sz="0" w:space="0" w:color="auto"/>
            <w:right w:val="none" w:sz="0" w:space="0" w:color="auto"/>
          </w:divBdr>
        </w:div>
        <w:div w:id="1391657889">
          <w:marLeft w:val="0"/>
          <w:marRight w:val="0"/>
          <w:marTop w:val="0"/>
          <w:marBottom w:val="0"/>
          <w:divBdr>
            <w:top w:val="none" w:sz="0" w:space="0" w:color="auto"/>
            <w:left w:val="none" w:sz="0" w:space="0" w:color="auto"/>
            <w:bottom w:val="none" w:sz="0" w:space="0" w:color="auto"/>
            <w:right w:val="none" w:sz="0" w:space="0" w:color="auto"/>
          </w:divBdr>
        </w:div>
        <w:div w:id="989216036">
          <w:marLeft w:val="0"/>
          <w:marRight w:val="0"/>
          <w:marTop w:val="0"/>
          <w:marBottom w:val="0"/>
          <w:divBdr>
            <w:top w:val="none" w:sz="0" w:space="0" w:color="auto"/>
            <w:left w:val="none" w:sz="0" w:space="0" w:color="auto"/>
            <w:bottom w:val="none" w:sz="0" w:space="0" w:color="auto"/>
            <w:right w:val="none" w:sz="0" w:space="0" w:color="auto"/>
          </w:divBdr>
        </w:div>
        <w:div w:id="730889357">
          <w:marLeft w:val="0"/>
          <w:marRight w:val="0"/>
          <w:marTop w:val="0"/>
          <w:marBottom w:val="0"/>
          <w:divBdr>
            <w:top w:val="none" w:sz="0" w:space="0" w:color="auto"/>
            <w:left w:val="none" w:sz="0" w:space="0" w:color="auto"/>
            <w:bottom w:val="none" w:sz="0" w:space="0" w:color="auto"/>
            <w:right w:val="none" w:sz="0" w:space="0" w:color="auto"/>
          </w:divBdr>
        </w:div>
        <w:div w:id="1608149794">
          <w:marLeft w:val="0"/>
          <w:marRight w:val="0"/>
          <w:marTop w:val="0"/>
          <w:marBottom w:val="0"/>
          <w:divBdr>
            <w:top w:val="none" w:sz="0" w:space="0" w:color="auto"/>
            <w:left w:val="none" w:sz="0" w:space="0" w:color="auto"/>
            <w:bottom w:val="none" w:sz="0" w:space="0" w:color="auto"/>
            <w:right w:val="none" w:sz="0" w:space="0" w:color="auto"/>
          </w:divBdr>
        </w:div>
        <w:div w:id="377047842">
          <w:marLeft w:val="0"/>
          <w:marRight w:val="0"/>
          <w:marTop w:val="0"/>
          <w:marBottom w:val="0"/>
          <w:divBdr>
            <w:top w:val="none" w:sz="0" w:space="0" w:color="auto"/>
            <w:left w:val="none" w:sz="0" w:space="0" w:color="auto"/>
            <w:bottom w:val="none" w:sz="0" w:space="0" w:color="auto"/>
            <w:right w:val="none" w:sz="0" w:space="0" w:color="auto"/>
          </w:divBdr>
        </w:div>
        <w:div w:id="1935936221">
          <w:marLeft w:val="0"/>
          <w:marRight w:val="0"/>
          <w:marTop w:val="0"/>
          <w:marBottom w:val="0"/>
          <w:divBdr>
            <w:top w:val="none" w:sz="0" w:space="0" w:color="auto"/>
            <w:left w:val="none" w:sz="0" w:space="0" w:color="auto"/>
            <w:bottom w:val="none" w:sz="0" w:space="0" w:color="auto"/>
            <w:right w:val="none" w:sz="0" w:space="0" w:color="auto"/>
          </w:divBdr>
        </w:div>
        <w:div w:id="1570726653">
          <w:marLeft w:val="0"/>
          <w:marRight w:val="0"/>
          <w:marTop w:val="0"/>
          <w:marBottom w:val="0"/>
          <w:divBdr>
            <w:top w:val="none" w:sz="0" w:space="0" w:color="auto"/>
            <w:left w:val="none" w:sz="0" w:space="0" w:color="auto"/>
            <w:bottom w:val="none" w:sz="0" w:space="0" w:color="auto"/>
            <w:right w:val="none" w:sz="0" w:space="0" w:color="auto"/>
          </w:divBdr>
        </w:div>
        <w:div w:id="978269904">
          <w:marLeft w:val="0"/>
          <w:marRight w:val="0"/>
          <w:marTop w:val="0"/>
          <w:marBottom w:val="0"/>
          <w:divBdr>
            <w:top w:val="none" w:sz="0" w:space="0" w:color="auto"/>
            <w:left w:val="none" w:sz="0" w:space="0" w:color="auto"/>
            <w:bottom w:val="none" w:sz="0" w:space="0" w:color="auto"/>
            <w:right w:val="none" w:sz="0" w:space="0" w:color="auto"/>
          </w:divBdr>
        </w:div>
        <w:div w:id="1766685826">
          <w:marLeft w:val="0"/>
          <w:marRight w:val="0"/>
          <w:marTop w:val="0"/>
          <w:marBottom w:val="0"/>
          <w:divBdr>
            <w:top w:val="none" w:sz="0" w:space="0" w:color="auto"/>
            <w:left w:val="none" w:sz="0" w:space="0" w:color="auto"/>
            <w:bottom w:val="none" w:sz="0" w:space="0" w:color="auto"/>
            <w:right w:val="none" w:sz="0" w:space="0" w:color="auto"/>
          </w:divBdr>
        </w:div>
        <w:div w:id="830606116">
          <w:marLeft w:val="0"/>
          <w:marRight w:val="0"/>
          <w:marTop w:val="0"/>
          <w:marBottom w:val="0"/>
          <w:divBdr>
            <w:top w:val="none" w:sz="0" w:space="0" w:color="auto"/>
            <w:left w:val="none" w:sz="0" w:space="0" w:color="auto"/>
            <w:bottom w:val="none" w:sz="0" w:space="0" w:color="auto"/>
            <w:right w:val="none" w:sz="0" w:space="0" w:color="auto"/>
          </w:divBdr>
        </w:div>
        <w:div w:id="1594850091">
          <w:marLeft w:val="0"/>
          <w:marRight w:val="0"/>
          <w:marTop w:val="0"/>
          <w:marBottom w:val="0"/>
          <w:divBdr>
            <w:top w:val="none" w:sz="0" w:space="0" w:color="auto"/>
            <w:left w:val="none" w:sz="0" w:space="0" w:color="auto"/>
            <w:bottom w:val="none" w:sz="0" w:space="0" w:color="auto"/>
            <w:right w:val="none" w:sz="0" w:space="0" w:color="auto"/>
          </w:divBdr>
        </w:div>
        <w:div w:id="1531725673">
          <w:marLeft w:val="0"/>
          <w:marRight w:val="0"/>
          <w:marTop w:val="0"/>
          <w:marBottom w:val="0"/>
          <w:divBdr>
            <w:top w:val="none" w:sz="0" w:space="0" w:color="auto"/>
            <w:left w:val="none" w:sz="0" w:space="0" w:color="auto"/>
            <w:bottom w:val="none" w:sz="0" w:space="0" w:color="auto"/>
            <w:right w:val="none" w:sz="0" w:space="0" w:color="auto"/>
          </w:divBdr>
        </w:div>
        <w:div w:id="722681112">
          <w:marLeft w:val="0"/>
          <w:marRight w:val="0"/>
          <w:marTop w:val="0"/>
          <w:marBottom w:val="0"/>
          <w:divBdr>
            <w:top w:val="none" w:sz="0" w:space="0" w:color="auto"/>
            <w:left w:val="none" w:sz="0" w:space="0" w:color="auto"/>
            <w:bottom w:val="none" w:sz="0" w:space="0" w:color="auto"/>
            <w:right w:val="none" w:sz="0" w:space="0" w:color="auto"/>
          </w:divBdr>
        </w:div>
        <w:div w:id="1655835220">
          <w:marLeft w:val="0"/>
          <w:marRight w:val="0"/>
          <w:marTop w:val="0"/>
          <w:marBottom w:val="0"/>
          <w:divBdr>
            <w:top w:val="none" w:sz="0" w:space="0" w:color="auto"/>
            <w:left w:val="none" w:sz="0" w:space="0" w:color="auto"/>
            <w:bottom w:val="none" w:sz="0" w:space="0" w:color="auto"/>
            <w:right w:val="none" w:sz="0" w:space="0" w:color="auto"/>
          </w:divBdr>
        </w:div>
        <w:div w:id="1289821791">
          <w:marLeft w:val="0"/>
          <w:marRight w:val="0"/>
          <w:marTop w:val="0"/>
          <w:marBottom w:val="0"/>
          <w:divBdr>
            <w:top w:val="none" w:sz="0" w:space="0" w:color="auto"/>
            <w:left w:val="none" w:sz="0" w:space="0" w:color="auto"/>
            <w:bottom w:val="none" w:sz="0" w:space="0" w:color="auto"/>
            <w:right w:val="none" w:sz="0" w:space="0" w:color="auto"/>
          </w:divBdr>
        </w:div>
        <w:div w:id="711803143">
          <w:marLeft w:val="0"/>
          <w:marRight w:val="0"/>
          <w:marTop w:val="0"/>
          <w:marBottom w:val="0"/>
          <w:divBdr>
            <w:top w:val="none" w:sz="0" w:space="0" w:color="auto"/>
            <w:left w:val="none" w:sz="0" w:space="0" w:color="auto"/>
            <w:bottom w:val="none" w:sz="0" w:space="0" w:color="auto"/>
            <w:right w:val="none" w:sz="0" w:space="0" w:color="auto"/>
          </w:divBdr>
        </w:div>
        <w:div w:id="1467357612">
          <w:marLeft w:val="0"/>
          <w:marRight w:val="0"/>
          <w:marTop w:val="0"/>
          <w:marBottom w:val="0"/>
          <w:divBdr>
            <w:top w:val="none" w:sz="0" w:space="0" w:color="auto"/>
            <w:left w:val="none" w:sz="0" w:space="0" w:color="auto"/>
            <w:bottom w:val="none" w:sz="0" w:space="0" w:color="auto"/>
            <w:right w:val="none" w:sz="0" w:space="0" w:color="auto"/>
          </w:divBdr>
        </w:div>
        <w:div w:id="1542742206">
          <w:marLeft w:val="0"/>
          <w:marRight w:val="0"/>
          <w:marTop w:val="0"/>
          <w:marBottom w:val="0"/>
          <w:divBdr>
            <w:top w:val="none" w:sz="0" w:space="0" w:color="auto"/>
            <w:left w:val="none" w:sz="0" w:space="0" w:color="auto"/>
            <w:bottom w:val="none" w:sz="0" w:space="0" w:color="auto"/>
            <w:right w:val="none" w:sz="0" w:space="0" w:color="auto"/>
          </w:divBdr>
        </w:div>
        <w:div w:id="233668514">
          <w:marLeft w:val="0"/>
          <w:marRight w:val="0"/>
          <w:marTop w:val="0"/>
          <w:marBottom w:val="0"/>
          <w:divBdr>
            <w:top w:val="none" w:sz="0" w:space="0" w:color="auto"/>
            <w:left w:val="none" w:sz="0" w:space="0" w:color="auto"/>
            <w:bottom w:val="none" w:sz="0" w:space="0" w:color="auto"/>
            <w:right w:val="none" w:sz="0" w:space="0" w:color="auto"/>
          </w:divBdr>
        </w:div>
        <w:div w:id="290987052">
          <w:marLeft w:val="0"/>
          <w:marRight w:val="0"/>
          <w:marTop w:val="0"/>
          <w:marBottom w:val="0"/>
          <w:divBdr>
            <w:top w:val="none" w:sz="0" w:space="0" w:color="auto"/>
            <w:left w:val="none" w:sz="0" w:space="0" w:color="auto"/>
            <w:bottom w:val="none" w:sz="0" w:space="0" w:color="auto"/>
            <w:right w:val="none" w:sz="0" w:space="0" w:color="auto"/>
          </w:divBdr>
        </w:div>
        <w:div w:id="1315259557">
          <w:marLeft w:val="0"/>
          <w:marRight w:val="0"/>
          <w:marTop w:val="0"/>
          <w:marBottom w:val="0"/>
          <w:divBdr>
            <w:top w:val="none" w:sz="0" w:space="0" w:color="auto"/>
            <w:left w:val="none" w:sz="0" w:space="0" w:color="auto"/>
            <w:bottom w:val="none" w:sz="0" w:space="0" w:color="auto"/>
            <w:right w:val="none" w:sz="0" w:space="0" w:color="auto"/>
          </w:divBdr>
        </w:div>
        <w:div w:id="7870225">
          <w:marLeft w:val="0"/>
          <w:marRight w:val="0"/>
          <w:marTop w:val="0"/>
          <w:marBottom w:val="0"/>
          <w:divBdr>
            <w:top w:val="none" w:sz="0" w:space="0" w:color="auto"/>
            <w:left w:val="none" w:sz="0" w:space="0" w:color="auto"/>
            <w:bottom w:val="none" w:sz="0" w:space="0" w:color="auto"/>
            <w:right w:val="none" w:sz="0" w:space="0" w:color="auto"/>
          </w:divBdr>
        </w:div>
        <w:div w:id="95713919">
          <w:marLeft w:val="0"/>
          <w:marRight w:val="0"/>
          <w:marTop w:val="0"/>
          <w:marBottom w:val="0"/>
          <w:divBdr>
            <w:top w:val="none" w:sz="0" w:space="0" w:color="auto"/>
            <w:left w:val="none" w:sz="0" w:space="0" w:color="auto"/>
            <w:bottom w:val="none" w:sz="0" w:space="0" w:color="auto"/>
            <w:right w:val="none" w:sz="0" w:space="0" w:color="auto"/>
          </w:divBdr>
        </w:div>
        <w:div w:id="268857845">
          <w:marLeft w:val="0"/>
          <w:marRight w:val="0"/>
          <w:marTop w:val="0"/>
          <w:marBottom w:val="0"/>
          <w:divBdr>
            <w:top w:val="none" w:sz="0" w:space="0" w:color="auto"/>
            <w:left w:val="none" w:sz="0" w:space="0" w:color="auto"/>
            <w:bottom w:val="none" w:sz="0" w:space="0" w:color="auto"/>
            <w:right w:val="none" w:sz="0" w:space="0" w:color="auto"/>
          </w:divBdr>
        </w:div>
        <w:div w:id="1910192145">
          <w:marLeft w:val="0"/>
          <w:marRight w:val="0"/>
          <w:marTop w:val="0"/>
          <w:marBottom w:val="0"/>
          <w:divBdr>
            <w:top w:val="none" w:sz="0" w:space="0" w:color="auto"/>
            <w:left w:val="none" w:sz="0" w:space="0" w:color="auto"/>
            <w:bottom w:val="none" w:sz="0" w:space="0" w:color="auto"/>
            <w:right w:val="none" w:sz="0" w:space="0" w:color="auto"/>
          </w:divBdr>
        </w:div>
        <w:div w:id="1788505713">
          <w:marLeft w:val="0"/>
          <w:marRight w:val="0"/>
          <w:marTop w:val="0"/>
          <w:marBottom w:val="0"/>
          <w:divBdr>
            <w:top w:val="none" w:sz="0" w:space="0" w:color="auto"/>
            <w:left w:val="none" w:sz="0" w:space="0" w:color="auto"/>
            <w:bottom w:val="none" w:sz="0" w:space="0" w:color="auto"/>
            <w:right w:val="none" w:sz="0" w:space="0" w:color="auto"/>
          </w:divBdr>
        </w:div>
        <w:div w:id="390156790">
          <w:marLeft w:val="0"/>
          <w:marRight w:val="0"/>
          <w:marTop w:val="0"/>
          <w:marBottom w:val="0"/>
          <w:divBdr>
            <w:top w:val="none" w:sz="0" w:space="0" w:color="auto"/>
            <w:left w:val="none" w:sz="0" w:space="0" w:color="auto"/>
            <w:bottom w:val="none" w:sz="0" w:space="0" w:color="auto"/>
            <w:right w:val="none" w:sz="0" w:space="0" w:color="auto"/>
          </w:divBdr>
        </w:div>
        <w:div w:id="2039816943">
          <w:marLeft w:val="0"/>
          <w:marRight w:val="0"/>
          <w:marTop w:val="0"/>
          <w:marBottom w:val="0"/>
          <w:divBdr>
            <w:top w:val="none" w:sz="0" w:space="0" w:color="auto"/>
            <w:left w:val="none" w:sz="0" w:space="0" w:color="auto"/>
            <w:bottom w:val="none" w:sz="0" w:space="0" w:color="auto"/>
            <w:right w:val="none" w:sz="0" w:space="0" w:color="auto"/>
          </w:divBdr>
        </w:div>
        <w:div w:id="899900730">
          <w:marLeft w:val="0"/>
          <w:marRight w:val="0"/>
          <w:marTop w:val="0"/>
          <w:marBottom w:val="0"/>
          <w:divBdr>
            <w:top w:val="none" w:sz="0" w:space="0" w:color="auto"/>
            <w:left w:val="none" w:sz="0" w:space="0" w:color="auto"/>
            <w:bottom w:val="none" w:sz="0" w:space="0" w:color="auto"/>
            <w:right w:val="none" w:sz="0" w:space="0" w:color="auto"/>
          </w:divBdr>
        </w:div>
        <w:div w:id="155927618">
          <w:marLeft w:val="0"/>
          <w:marRight w:val="0"/>
          <w:marTop w:val="0"/>
          <w:marBottom w:val="0"/>
          <w:divBdr>
            <w:top w:val="none" w:sz="0" w:space="0" w:color="auto"/>
            <w:left w:val="none" w:sz="0" w:space="0" w:color="auto"/>
            <w:bottom w:val="none" w:sz="0" w:space="0" w:color="auto"/>
            <w:right w:val="none" w:sz="0" w:space="0" w:color="auto"/>
          </w:divBdr>
        </w:div>
        <w:div w:id="1118990326">
          <w:marLeft w:val="0"/>
          <w:marRight w:val="0"/>
          <w:marTop w:val="0"/>
          <w:marBottom w:val="0"/>
          <w:divBdr>
            <w:top w:val="none" w:sz="0" w:space="0" w:color="auto"/>
            <w:left w:val="none" w:sz="0" w:space="0" w:color="auto"/>
            <w:bottom w:val="none" w:sz="0" w:space="0" w:color="auto"/>
            <w:right w:val="none" w:sz="0" w:space="0" w:color="auto"/>
          </w:divBdr>
        </w:div>
        <w:div w:id="1307055220">
          <w:marLeft w:val="0"/>
          <w:marRight w:val="0"/>
          <w:marTop w:val="0"/>
          <w:marBottom w:val="0"/>
          <w:divBdr>
            <w:top w:val="none" w:sz="0" w:space="0" w:color="auto"/>
            <w:left w:val="none" w:sz="0" w:space="0" w:color="auto"/>
            <w:bottom w:val="none" w:sz="0" w:space="0" w:color="auto"/>
            <w:right w:val="none" w:sz="0" w:space="0" w:color="auto"/>
          </w:divBdr>
        </w:div>
        <w:div w:id="900140149">
          <w:marLeft w:val="0"/>
          <w:marRight w:val="0"/>
          <w:marTop w:val="0"/>
          <w:marBottom w:val="0"/>
          <w:divBdr>
            <w:top w:val="none" w:sz="0" w:space="0" w:color="auto"/>
            <w:left w:val="none" w:sz="0" w:space="0" w:color="auto"/>
            <w:bottom w:val="none" w:sz="0" w:space="0" w:color="auto"/>
            <w:right w:val="none" w:sz="0" w:space="0" w:color="auto"/>
          </w:divBdr>
        </w:div>
        <w:div w:id="1947035223">
          <w:marLeft w:val="0"/>
          <w:marRight w:val="0"/>
          <w:marTop w:val="0"/>
          <w:marBottom w:val="0"/>
          <w:divBdr>
            <w:top w:val="none" w:sz="0" w:space="0" w:color="auto"/>
            <w:left w:val="none" w:sz="0" w:space="0" w:color="auto"/>
            <w:bottom w:val="none" w:sz="0" w:space="0" w:color="auto"/>
            <w:right w:val="none" w:sz="0" w:space="0" w:color="auto"/>
          </w:divBdr>
        </w:div>
        <w:div w:id="1125931539">
          <w:marLeft w:val="0"/>
          <w:marRight w:val="0"/>
          <w:marTop w:val="0"/>
          <w:marBottom w:val="0"/>
          <w:divBdr>
            <w:top w:val="none" w:sz="0" w:space="0" w:color="auto"/>
            <w:left w:val="none" w:sz="0" w:space="0" w:color="auto"/>
            <w:bottom w:val="none" w:sz="0" w:space="0" w:color="auto"/>
            <w:right w:val="none" w:sz="0" w:space="0" w:color="auto"/>
          </w:divBdr>
        </w:div>
        <w:div w:id="667513314">
          <w:marLeft w:val="0"/>
          <w:marRight w:val="0"/>
          <w:marTop w:val="0"/>
          <w:marBottom w:val="0"/>
          <w:divBdr>
            <w:top w:val="none" w:sz="0" w:space="0" w:color="auto"/>
            <w:left w:val="none" w:sz="0" w:space="0" w:color="auto"/>
            <w:bottom w:val="none" w:sz="0" w:space="0" w:color="auto"/>
            <w:right w:val="none" w:sz="0" w:space="0" w:color="auto"/>
          </w:divBdr>
        </w:div>
        <w:div w:id="131945353">
          <w:marLeft w:val="0"/>
          <w:marRight w:val="0"/>
          <w:marTop w:val="0"/>
          <w:marBottom w:val="0"/>
          <w:divBdr>
            <w:top w:val="none" w:sz="0" w:space="0" w:color="auto"/>
            <w:left w:val="none" w:sz="0" w:space="0" w:color="auto"/>
            <w:bottom w:val="none" w:sz="0" w:space="0" w:color="auto"/>
            <w:right w:val="none" w:sz="0" w:space="0" w:color="auto"/>
          </w:divBdr>
        </w:div>
        <w:div w:id="1362899755">
          <w:marLeft w:val="0"/>
          <w:marRight w:val="0"/>
          <w:marTop w:val="0"/>
          <w:marBottom w:val="0"/>
          <w:divBdr>
            <w:top w:val="none" w:sz="0" w:space="0" w:color="auto"/>
            <w:left w:val="none" w:sz="0" w:space="0" w:color="auto"/>
            <w:bottom w:val="none" w:sz="0" w:space="0" w:color="auto"/>
            <w:right w:val="none" w:sz="0" w:space="0" w:color="auto"/>
          </w:divBdr>
        </w:div>
        <w:div w:id="336277295">
          <w:marLeft w:val="0"/>
          <w:marRight w:val="0"/>
          <w:marTop w:val="0"/>
          <w:marBottom w:val="0"/>
          <w:divBdr>
            <w:top w:val="none" w:sz="0" w:space="0" w:color="auto"/>
            <w:left w:val="none" w:sz="0" w:space="0" w:color="auto"/>
            <w:bottom w:val="none" w:sz="0" w:space="0" w:color="auto"/>
            <w:right w:val="none" w:sz="0" w:space="0" w:color="auto"/>
          </w:divBdr>
        </w:div>
        <w:div w:id="876354160">
          <w:marLeft w:val="0"/>
          <w:marRight w:val="0"/>
          <w:marTop w:val="0"/>
          <w:marBottom w:val="0"/>
          <w:divBdr>
            <w:top w:val="none" w:sz="0" w:space="0" w:color="auto"/>
            <w:left w:val="none" w:sz="0" w:space="0" w:color="auto"/>
            <w:bottom w:val="none" w:sz="0" w:space="0" w:color="auto"/>
            <w:right w:val="none" w:sz="0" w:space="0" w:color="auto"/>
          </w:divBdr>
        </w:div>
        <w:div w:id="1504510994">
          <w:marLeft w:val="0"/>
          <w:marRight w:val="0"/>
          <w:marTop w:val="0"/>
          <w:marBottom w:val="0"/>
          <w:divBdr>
            <w:top w:val="none" w:sz="0" w:space="0" w:color="auto"/>
            <w:left w:val="none" w:sz="0" w:space="0" w:color="auto"/>
            <w:bottom w:val="none" w:sz="0" w:space="0" w:color="auto"/>
            <w:right w:val="none" w:sz="0" w:space="0" w:color="auto"/>
          </w:divBdr>
        </w:div>
        <w:div w:id="889458264">
          <w:marLeft w:val="0"/>
          <w:marRight w:val="0"/>
          <w:marTop w:val="0"/>
          <w:marBottom w:val="0"/>
          <w:divBdr>
            <w:top w:val="none" w:sz="0" w:space="0" w:color="auto"/>
            <w:left w:val="none" w:sz="0" w:space="0" w:color="auto"/>
            <w:bottom w:val="none" w:sz="0" w:space="0" w:color="auto"/>
            <w:right w:val="none" w:sz="0" w:space="0" w:color="auto"/>
          </w:divBdr>
        </w:div>
        <w:div w:id="1530676568">
          <w:marLeft w:val="0"/>
          <w:marRight w:val="0"/>
          <w:marTop w:val="0"/>
          <w:marBottom w:val="0"/>
          <w:divBdr>
            <w:top w:val="none" w:sz="0" w:space="0" w:color="auto"/>
            <w:left w:val="none" w:sz="0" w:space="0" w:color="auto"/>
            <w:bottom w:val="none" w:sz="0" w:space="0" w:color="auto"/>
            <w:right w:val="none" w:sz="0" w:space="0" w:color="auto"/>
          </w:divBdr>
        </w:div>
        <w:div w:id="1292714512">
          <w:marLeft w:val="0"/>
          <w:marRight w:val="0"/>
          <w:marTop w:val="0"/>
          <w:marBottom w:val="0"/>
          <w:divBdr>
            <w:top w:val="none" w:sz="0" w:space="0" w:color="auto"/>
            <w:left w:val="none" w:sz="0" w:space="0" w:color="auto"/>
            <w:bottom w:val="none" w:sz="0" w:space="0" w:color="auto"/>
            <w:right w:val="none" w:sz="0" w:space="0" w:color="auto"/>
          </w:divBdr>
        </w:div>
        <w:div w:id="1954708759">
          <w:marLeft w:val="0"/>
          <w:marRight w:val="0"/>
          <w:marTop w:val="0"/>
          <w:marBottom w:val="0"/>
          <w:divBdr>
            <w:top w:val="none" w:sz="0" w:space="0" w:color="auto"/>
            <w:left w:val="none" w:sz="0" w:space="0" w:color="auto"/>
            <w:bottom w:val="none" w:sz="0" w:space="0" w:color="auto"/>
            <w:right w:val="none" w:sz="0" w:space="0" w:color="auto"/>
          </w:divBdr>
        </w:div>
        <w:div w:id="113402710">
          <w:marLeft w:val="0"/>
          <w:marRight w:val="0"/>
          <w:marTop w:val="0"/>
          <w:marBottom w:val="0"/>
          <w:divBdr>
            <w:top w:val="none" w:sz="0" w:space="0" w:color="auto"/>
            <w:left w:val="none" w:sz="0" w:space="0" w:color="auto"/>
            <w:bottom w:val="none" w:sz="0" w:space="0" w:color="auto"/>
            <w:right w:val="none" w:sz="0" w:space="0" w:color="auto"/>
          </w:divBdr>
        </w:div>
        <w:div w:id="139227133">
          <w:marLeft w:val="0"/>
          <w:marRight w:val="0"/>
          <w:marTop w:val="0"/>
          <w:marBottom w:val="0"/>
          <w:divBdr>
            <w:top w:val="none" w:sz="0" w:space="0" w:color="auto"/>
            <w:left w:val="none" w:sz="0" w:space="0" w:color="auto"/>
            <w:bottom w:val="none" w:sz="0" w:space="0" w:color="auto"/>
            <w:right w:val="none" w:sz="0" w:space="0" w:color="auto"/>
          </w:divBdr>
        </w:div>
        <w:div w:id="1862430834">
          <w:marLeft w:val="0"/>
          <w:marRight w:val="0"/>
          <w:marTop w:val="0"/>
          <w:marBottom w:val="0"/>
          <w:divBdr>
            <w:top w:val="none" w:sz="0" w:space="0" w:color="auto"/>
            <w:left w:val="none" w:sz="0" w:space="0" w:color="auto"/>
            <w:bottom w:val="none" w:sz="0" w:space="0" w:color="auto"/>
            <w:right w:val="none" w:sz="0" w:space="0" w:color="auto"/>
          </w:divBdr>
        </w:div>
        <w:div w:id="1587152088">
          <w:marLeft w:val="0"/>
          <w:marRight w:val="0"/>
          <w:marTop w:val="0"/>
          <w:marBottom w:val="0"/>
          <w:divBdr>
            <w:top w:val="none" w:sz="0" w:space="0" w:color="auto"/>
            <w:left w:val="none" w:sz="0" w:space="0" w:color="auto"/>
            <w:bottom w:val="none" w:sz="0" w:space="0" w:color="auto"/>
            <w:right w:val="none" w:sz="0" w:space="0" w:color="auto"/>
          </w:divBdr>
        </w:div>
        <w:div w:id="1361320480">
          <w:marLeft w:val="0"/>
          <w:marRight w:val="0"/>
          <w:marTop w:val="0"/>
          <w:marBottom w:val="0"/>
          <w:divBdr>
            <w:top w:val="none" w:sz="0" w:space="0" w:color="auto"/>
            <w:left w:val="none" w:sz="0" w:space="0" w:color="auto"/>
            <w:bottom w:val="none" w:sz="0" w:space="0" w:color="auto"/>
            <w:right w:val="none" w:sz="0" w:space="0" w:color="auto"/>
          </w:divBdr>
        </w:div>
        <w:div w:id="1210611194">
          <w:marLeft w:val="0"/>
          <w:marRight w:val="0"/>
          <w:marTop w:val="0"/>
          <w:marBottom w:val="0"/>
          <w:divBdr>
            <w:top w:val="none" w:sz="0" w:space="0" w:color="auto"/>
            <w:left w:val="none" w:sz="0" w:space="0" w:color="auto"/>
            <w:bottom w:val="none" w:sz="0" w:space="0" w:color="auto"/>
            <w:right w:val="none" w:sz="0" w:space="0" w:color="auto"/>
          </w:divBdr>
        </w:div>
        <w:div w:id="873078557">
          <w:marLeft w:val="0"/>
          <w:marRight w:val="0"/>
          <w:marTop w:val="0"/>
          <w:marBottom w:val="0"/>
          <w:divBdr>
            <w:top w:val="none" w:sz="0" w:space="0" w:color="auto"/>
            <w:left w:val="none" w:sz="0" w:space="0" w:color="auto"/>
            <w:bottom w:val="none" w:sz="0" w:space="0" w:color="auto"/>
            <w:right w:val="none" w:sz="0" w:space="0" w:color="auto"/>
          </w:divBdr>
        </w:div>
        <w:div w:id="821310655">
          <w:marLeft w:val="0"/>
          <w:marRight w:val="0"/>
          <w:marTop w:val="0"/>
          <w:marBottom w:val="0"/>
          <w:divBdr>
            <w:top w:val="none" w:sz="0" w:space="0" w:color="auto"/>
            <w:left w:val="none" w:sz="0" w:space="0" w:color="auto"/>
            <w:bottom w:val="none" w:sz="0" w:space="0" w:color="auto"/>
            <w:right w:val="none" w:sz="0" w:space="0" w:color="auto"/>
          </w:divBdr>
        </w:div>
        <w:div w:id="507987178">
          <w:marLeft w:val="0"/>
          <w:marRight w:val="0"/>
          <w:marTop w:val="0"/>
          <w:marBottom w:val="0"/>
          <w:divBdr>
            <w:top w:val="none" w:sz="0" w:space="0" w:color="auto"/>
            <w:left w:val="none" w:sz="0" w:space="0" w:color="auto"/>
            <w:bottom w:val="none" w:sz="0" w:space="0" w:color="auto"/>
            <w:right w:val="none" w:sz="0" w:space="0" w:color="auto"/>
          </w:divBdr>
        </w:div>
        <w:div w:id="1811553582">
          <w:marLeft w:val="0"/>
          <w:marRight w:val="0"/>
          <w:marTop w:val="0"/>
          <w:marBottom w:val="0"/>
          <w:divBdr>
            <w:top w:val="none" w:sz="0" w:space="0" w:color="auto"/>
            <w:left w:val="none" w:sz="0" w:space="0" w:color="auto"/>
            <w:bottom w:val="none" w:sz="0" w:space="0" w:color="auto"/>
            <w:right w:val="none" w:sz="0" w:space="0" w:color="auto"/>
          </w:divBdr>
        </w:div>
        <w:div w:id="2122410514">
          <w:marLeft w:val="0"/>
          <w:marRight w:val="0"/>
          <w:marTop w:val="0"/>
          <w:marBottom w:val="0"/>
          <w:divBdr>
            <w:top w:val="none" w:sz="0" w:space="0" w:color="auto"/>
            <w:left w:val="none" w:sz="0" w:space="0" w:color="auto"/>
            <w:bottom w:val="none" w:sz="0" w:space="0" w:color="auto"/>
            <w:right w:val="none" w:sz="0" w:space="0" w:color="auto"/>
          </w:divBdr>
        </w:div>
        <w:div w:id="1644121793">
          <w:marLeft w:val="0"/>
          <w:marRight w:val="0"/>
          <w:marTop w:val="0"/>
          <w:marBottom w:val="0"/>
          <w:divBdr>
            <w:top w:val="none" w:sz="0" w:space="0" w:color="auto"/>
            <w:left w:val="none" w:sz="0" w:space="0" w:color="auto"/>
            <w:bottom w:val="none" w:sz="0" w:space="0" w:color="auto"/>
            <w:right w:val="none" w:sz="0" w:space="0" w:color="auto"/>
          </w:divBdr>
        </w:div>
        <w:div w:id="1782141439">
          <w:marLeft w:val="0"/>
          <w:marRight w:val="0"/>
          <w:marTop w:val="0"/>
          <w:marBottom w:val="0"/>
          <w:divBdr>
            <w:top w:val="none" w:sz="0" w:space="0" w:color="auto"/>
            <w:left w:val="none" w:sz="0" w:space="0" w:color="auto"/>
            <w:bottom w:val="none" w:sz="0" w:space="0" w:color="auto"/>
            <w:right w:val="none" w:sz="0" w:space="0" w:color="auto"/>
          </w:divBdr>
        </w:div>
        <w:div w:id="1026062107">
          <w:marLeft w:val="0"/>
          <w:marRight w:val="0"/>
          <w:marTop w:val="0"/>
          <w:marBottom w:val="0"/>
          <w:divBdr>
            <w:top w:val="none" w:sz="0" w:space="0" w:color="auto"/>
            <w:left w:val="none" w:sz="0" w:space="0" w:color="auto"/>
            <w:bottom w:val="none" w:sz="0" w:space="0" w:color="auto"/>
            <w:right w:val="none" w:sz="0" w:space="0" w:color="auto"/>
          </w:divBdr>
        </w:div>
        <w:div w:id="34887280">
          <w:marLeft w:val="0"/>
          <w:marRight w:val="0"/>
          <w:marTop w:val="0"/>
          <w:marBottom w:val="0"/>
          <w:divBdr>
            <w:top w:val="none" w:sz="0" w:space="0" w:color="auto"/>
            <w:left w:val="none" w:sz="0" w:space="0" w:color="auto"/>
            <w:bottom w:val="none" w:sz="0" w:space="0" w:color="auto"/>
            <w:right w:val="none" w:sz="0" w:space="0" w:color="auto"/>
          </w:divBdr>
        </w:div>
        <w:div w:id="732242455">
          <w:marLeft w:val="0"/>
          <w:marRight w:val="0"/>
          <w:marTop w:val="0"/>
          <w:marBottom w:val="0"/>
          <w:divBdr>
            <w:top w:val="none" w:sz="0" w:space="0" w:color="auto"/>
            <w:left w:val="none" w:sz="0" w:space="0" w:color="auto"/>
            <w:bottom w:val="none" w:sz="0" w:space="0" w:color="auto"/>
            <w:right w:val="none" w:sz="0" w:space="0" w:color="auto"/>
          </w:divBdr>
        </w:div>
        <w:div w:id="1335643868">
          <w:marLeft w:val="0"/>
          <w:marRight w:val="0"/>
          <w:marTop w:val="0"/>
          <w:marBottom w:val="0"/>
          <w:divBdr>
            <w:top w:val="none" w:sz="0" w:space="0" w:color="auto"/>
            <w:left w:val="none" w:sz="0" w:space="0" w:color="auto"/>
            <w:bottom w:val="none" w:sz="0" w:space="0" w:color="auto"/>
            <w:right w:val="none" w:sz="0" w:space="0" w:color="auto"/>
          </w:divBdr>
        </w:div>
        <w:div w:id="1555501387">
          <w:marLeft w:val="0"/>
          <w:marRight w:val="0"/>
          <w:marTop w:val="0"/>
          <w:marBottom w:val="0"/>
          <w:divBdr>
            <w:top w:val="none" w:sz="0" w:space="0" w:color="auto"/>
            <w:left w:val="none" w:sz="0" w:space="0" w:color="auto"/>
            <w:bottom w:val="none" w:sz="0" w:space="0" w:color="auto"/>
            <w:right w:val="none" w:sz="0" w:space="0" w:color="auto"/>
          </w:divBdr>
        </w:div>
        <w:div w:id="54860589">
          <w:marLeft w:val="0"/>
          <w:marRight w:val="0"/>
          <w:marTop w:val="0"/>
          <w:marBottom w:val="0"/>
          <w:divBdr>
            <w:top w:val="none" w:sz="0" w:space="0" w:color="auto"/>
            <w:left w:val="none" w:sz="0" w:space="0" w:color="auto"/>
            <w:bottom w:val="none" w:sz="0" w:space="0" w:color="auto"/>
            <w:right w:val="none" w:sz="0" w:space="0" w:color="auto"/>
          </w:divBdr>
        </w:div>
        <w:div w:id="576088798">
          <w:marLeft w:val="0"/>
          <w:marRight w:val="0"/>
          <w:marTop w:val="0"/>
          <w:marBottom w:val="0"/>
          <w:divBdr>
            <w:top w:val="none" w:sz="0" w:space="0" w:color="auto"/>
            <w:left w:val="none" w:sz="0" w:space="0" w:color="auto"/>
            <w:bottom w:val="none" w:sz="0" w:space="0" w:color="auto"/>
            <w:right w:val="none" w:sz="0" w:space="0" w:color="auto"/>
          </w:divBdr>
        </w:div>
        <w:div w:id="2032760355">
          <w:marLeft w:val="0"/>
          <w:marRight w:val="0"/>
          <w:marTop w:val="0"/>
          <w:marBottom w:val="0"/>
          <w:divBdr>
            <w:top w:val="none" w:sz="0" w:space="0" w:color="auto"/>
            <w:left w:val="none" w:sz="0" w:space="0" w:color="auto"/>
            <w:bottom w:val="none" w:sz="0" w:space="0" w:color="auto"/>
            <w:right w:val="none" w:sz="0" w:space="0" w:color="auto"/>
          </w:divBdr>
        </w:div>
        <w:div w:id="1081606219">
          <w:marLeft w:val="0"/>
          <w:marRight w:val="0"/>
          <w:marTop w:val="0"/>
          <w:marBottom w:val="0"/>
          <w:divBdr>
            <w:top w:val="none" w:sz="0" w:space="0" w:color="auto"/>
            <w:left w:val="none" w:sz="0" w:space="0" w:color="auto"/>
            <w:bottom w:val="none" w:sz="0" w:space="0" w:color="auto"/>
            <w:right w:val="none" w:sz="0" w:space="0" w:color="auto"/>
          </w:divBdr>
        </w:div>
        <w:div w:id="1302274699">
          <w:marLeft w:val="0"/>
          <w:marRight w:val="0"/>
          <w:marTop w:val="0"/>
          <w:marBottom w:val="0"/>
          <w:divBdr>
            <w:top w:val="none" w:sz="0" w:space="0" w:color="auto"/>
            <w:left w:val="none" w:sz="0" w:space="0" w:color="auto"/>
            <w:bottom w:val="none" w:sz="0" w:space="0" w:color="auto"/>
            <w:right w:val="none" w:sz="0" w:space="0" w:color="auto"/>
          </w:divBdr>
        </w:div>
        <w:div w:id="1067066934">
          <w:marLeft w:val="0"/>
          <w:marRight w:val="0"/>
          <w:marTop w:val="0"/>
          <w:marBottom w:val="0"/>
          <w:divBdr>
            <w:top w:val="none" w:sz="0" w:space="0" w:color="auto"/>
            <w:left w:val="none" w:sz="0" w:space="0" w:color="auto"/>
            <w:bottom w:val="none" w:sz="0" w:space="0" w:color="auto"/>
            <w:right w:val="none" w:sz="0" w:space="0" w:color="auto"/>
          </w:divBdr>
        </w:div>
        <w:div w:id="1812744790">
          <w:marLeft w:val="0"/>
          <w:marRight w:val="0"/>
          <w:marTop w:val="0"/>
          <w:marBottom w:val="0"/>
          <w:divBdr>
            <w:top w:val="none" w:sz="0" w:space="0" w:color="auto"/>
            <w:left w:val="none" w:sz="0" w:space="0" w:color="auto"/>
            <w:bottom w:val="none" w:sz="0" w:space="0" w:color="auto"/>
            <w:right w:val="none" w:sz="0" w:space="0" w:color="auto"/>
          </w:divBdr>
        </w:div>
        <w:div w:id="1947422412">
          <w:marLeft w:val="0"/>
          <w:marRight w:val="0"/>
          <w:marTop w:val="0"/>
          <w:marBottom w:val="0"/>
          <w:divBdr>
            <w:top w:val="none" w:sz="0" w:space="0" w:color="auto"/>
            <w:left w:val="none" w:sz="0" w:space="0" w:color="auto"/>
            <w:bottom w:val="none" w:sz="0" w:space="0" w:color="auto"/>
            <w:right w:val="none" w:sz="0" w:space="0" w:color="auto"/>
          </w:divBdr>
        </w:div>
        <w:div w:id="345904437">
          <w:marLeft w:val="0"/>
          <w:marRight w:val="0"/>
          <w:marTop w:val="0"/>
          <w:marBottom w:val="0"/>
          <w:divBdr>
            <w:top w:val="none" w:sz="0" w:space="0" w:color="auto"/>
            <w:left w:val="none" w:sz="0" w:space="0" w:color="auto"/>
            <w:bottom w:val="none" w:sz="0" w:space="0" w:color="auto"/>
            <w:right w:val="none" w:sz="0" w:space="0" w:color="auto"/>
          </w:divBdr>
        </w:div>
        <w:div w:id="274750376">
          <w:marLeft w:val="0"/>
          <w:marRight w:val="0"/>
          <w:marTop w:val="0"/>
          <w:marBottom w:val="0"/>
          <w:divBdr>
            <w:top w:val="none" w:sz="0" w:space="0" w:color="auto"/>
            <w:left w:val="none" w:sz="0" w:space="0" w:color="auto"/>
            <w:bottom w:val="none" w:sz="0" w:space="0" w:color="auto"/>
            <w:right w:val="none" w:sz="0" w:space="0" w:color="auto"/>
          </w:divBdr>
        </w:div>
        <w:div w:id="1439367575">
          <w:marLeft w:val="0"/>
          <w:marRight w:val="0"/>
          <w:marTop w:val="0"/>
          <w:marBottom w:val="0"/>
          <w:divBdr>
            <w:top w:val="none" w:sz="0" w:space="0" w:color="auto"/>
            <w:left w:val="none" w:sz="0" w:space="0" w:color="auto"/>
            <w:bottom w:val="none" w:sz="0" w:space="0" w:color="auto"/>
            <w:right w:val="none" w:sz="0" w:space="0" w:color="auto"/>
          </w:divBdr>
        </w:div>
        <w:div w:id="1941640348">
          <w:marLeft w:val="0"/>
          <w:marRight w:val="0"/>
          <w:marTop w:val="0"/>
          <w:marBottom w:val="0"/>
          <w:divBdr>
            <w:top w:val="none" w:sz="0" w:space="0" w:color="auto"/>
            <w:left w:val="none" w:sz="0" w:space="0" w:color="auto"/>
            <w:bottom w:val="none" w:sz="0" w:space="0" w:color="auto"/>
            <w:right w:val="none" w:sz="0" w:space="0" w:color="auto"/>
          </w:divBdr>
        </w:div>
        <w:div w:id="845482192">
          <w:marLeft w:val="0"/>
          <w:marRight w:val="0"/>
          <w:marTop w:val="0"/>
          <w:marBottom w:val="0"/>
          <w:divBdr>
            <w:top w:val="none" w:sz="0" w:space="0" w:color="auto"/>
            <w:left w:val="none" w:sz="0" w:space="0" w:color="auto"/>
            <w:bottom w:val="none" w:sz="0" w:space="0" w:color="auto"/>
            <w:right w:val="none" w:sz="0" w:space="0" w:color="auto"/>
          </w:divBdr>
        </w:div>
        <w:div w:id="441582074">
          <w:marLeft w:val="0"/>
          <w:marRight w:val="0"/>
          <w:marTop w:val="0"/>
          <w:marBottom w:val="0"/>
          <w:divBdr>
            <w:top w:val="none" w:sz="0" w:space="0" w:color="auto"/>
            <w:left w:val="none" w:sz="0" w:space="0" w:color="auto"/>
            <w:bottom w:val="none" w:sz="0" w:space="0" w:color="auto"/>
            <w:right w:val="none" w:sz="0" w:space="0" w:color="auto"/>
          </w:divBdr>
        </w:div>
        <w:div w:id="1356693470">
          <w:marLeft w:val="0"/>
          <w:marRight w:val="0"/>
          <w:marTop w:val="0"/>
          <w:marBottom w:val="0"/>
          <w:divBdr>
            <w:top w:val="none" w:sz="0" w:space="0" w:color="auto"/>
            <w:left w:val="none" w:sz="0" w:space="0" w:color="auto"/>
            <w:bottom w:val="none" w:sz="0" w:space="0" w:color="auto"/>
            <w:right w:val="none" w:sz="0" w:space="0" w:color="auto"/>
          </w:divBdr>
        </w:div>
        <w:div w:id="48842331">
          <w:marLeft w:val="0"/>
          <w:marRight w:val="0"/>
          <w:marTop w:val="0"/>
          <w:marBottom w:val="0"/>
          <w:divBdr>
            <w:top w:val="none" w:sz="0" w:space="0" w:color="auto"/>
            <w:left w:val="none" w:sz="0" w:space="0" w:color="auto"/>
            <w:bottom w:val="none" w:sz="0" w:space="0" w:color="auto"/>
            <w:right w:val="none" w:sz="0" w:space="0" w:color="auto"/>
          </w:divBdr>
        </w:div>
        <w:div w:id="891238004">
          <w:marLeft w:val="0"/>
          <w:marRight w:val="0"/>
          <w:marTop w:val="0"/>
          <w:marBottom w:val="0"/>
          <w:divBdr>
            <w:top w:val="none" w:sz="0" w:space="0" w:color="auto"/>
            <w:left w:val="none" w:sz="0" w:space="0" w:color="auto"/>
            <w:bottom w:val="none" w:sz="0" w:space="0" w:color="auto"/>
            <w:right w:val="none" w:sz="0" w:space="0" w:color="auto"/>
          </w:divBdr>
        </w:div>
        <w:div w:id="498498259">
          <w:marLeft w:val="0"/>
          <w:marRight w:val="0"/>
          <w:marTop w:val="0"/>
          <w:marBottom w:val="0"/>
          <w:divBdr>
            <w:top w:val="none" w:sz="0" w:space="0" w:color="auto"/>
            <w:left w:val="none" w:sz="0" w:space="0" w:color="auto"/>
            <w:bottom w:val="none" w:sz="0" w:space="0" w:color="auto"/>
            <w:right w:val="none" w:sz="0" w:space="0" w:color="auto"/>
          </w:divBdr>
        </w:div>
        <w:div w:id="258416907">
          <w:marLeft w:val="0"/>
          <w:marRight w:val="0"/>
          <w:marTop w:val="0"/>
          <w:marBottom w:val="0"/>
          <w:divBdr>
            <w:top w:val="none" w:sz="0" w:space="0" w:color="auto"/>
            <w:left w:val="none" w:sz="0" w:space="0" w:color="auto"/>
            <w:bottom w:val="none" w:sz="0" w:space="0" w:color="auto"/>
            <w:right w:val="none" w:sz="0" w:space="0" w:color="auto"/>
          </w:divBdr>
        </w:div>
        <w:div w:id="876895331">
          <w:marLeft w:val="0"/>
          <w:marRight w:val="0"/>
          <w:marTop w:val="0"/>
          <w:marBottom w:val="0"/>
          <w:divBdr>
            <w:top w:val="none" w:sz="0" w:space="0" w:color="auto"/>
            <w:left w:val="none" w:sz="0" w:space="0" w:color="auto"/>
            <w:bottom w:val="none" w:sz="0" w:space="0" w:color="auto"/>
            <w:right w:val="none" w:sz="0" w:space="0" w:color="auto"/>
          </w:divBdr>
        </w:div>
        <w:div w:id="1478183292">
          <w:marLeft w:val="0"/>
          <w:marRight w:val="0"/>
          <w:marTop w:val="0"/>
          <w:marBottom w:val="0"/>
          <w:divBdr>
            <w:top w:val="none" w:sz="0" w:space="0" w:color="auto"/>
            <w:left w:val="none" w:sz="0" w:space="0" w:color="auto"/>
            <w:bottom w:val="none" w:sz="0" w:space="0" w:color="auto"/>
            <w:right w:val="none" w:sz="0" w:space="0" w:color="auto"/>
          </w:divBdr>
        </w:div>
        <w:div w:id="1145780018">
          <w:marLeft w:val="0"/>
          <w:marRight w:val="0"/>
          <w:marTop w:val="0"/>
          <w:marBottom w:val="0"/>
          <w:divBdr>
            <w:top w:val="none" w:sz="0" w:space="0" w:color="auto"/>
            <w:left w:val="none" w:sz="0" w:space="0" w:color="auto"/>
            <w:bottom w:val="none" w:sz="0" w:space="0" w:color="auto"/>
            <w:right w:val="none" w:sz="0" w:space="0" w:color="auto"/>
          </w:divBdr>
        </w:div>
        <w:div w:id="2123649086">
          <w:marLeft w:val="0"/>
          <w:marRight w:val="0"/>
          <w:marTop w:val="0"/>
          <w:marBottom w:val="0"/>
          <w:divBdr>
            <w:top w:val="none" w:sz="0" w:space="0" w:color="auto"/>
            <w:left w:val="none" w:sz="0" w:space="0" w:color="auto"/>
            <w:bottom w:val="none" w:sz="0" w:space="0" w:color="auto"/>
            <w:right w:val="none" w:sz="0" w:space="0" w:color="auto"/>
          </w:divBdr>
        </w:div>
        <w:div w:id="199826974">
          <w:marLeft w:val="0"/>
          <w:marRight w:val="0"/>
          <w:marTop w:val="0"/>
          <w:marBottom w:val="0"/>
          <w:divBdr>
            <w:top w:val="none" w:sz="0" w:space="0" w:color="auto"/>
            <w:left w:val="none" w:sz="0" w:space="0" w:color="auto"/>
            <w:bottom w:val="none" w:sz="0" w:space="0" w:color="auto"/>
            <w:right w:val="none" w:sz="0" w:space="0" w:color="auto"/>
          </w:divBdr>
        </w:div>
        <w:div w:id="1810591548">
          <w:marLeft w:val="0"/>
          <w:marRight w:val="0"/>
          <w:marTop w:val="0"/>
          <w:marBottom w:val="0"/>
          <w:divBdr>
            <w:top w:val="none" w:sz="0" w:space="0" w:color="auto"/>
            <w:left w:val="none" w:sz="0" w:space="0" w:color="auto"/>
            <w:bottom w:val="none" w:sz="0" w:space="0" w:color="auto"/>
            <w:right w:val="none" w:sz="0" w:space="0" w:color="auto"/>
          </w:divBdr>
        </w:div>
        <w:div w:id="135419135">
          <w:marLeft w:val="0"/>
          <w:marRight w:val="0"/>
          <w:marTop w:val="0"/>
          <w:marBottom w:val="0"/>
          <w:divBdr>
            <w:top w:val="none" w:sz="0" w:space="0" w:color="auto"/>
            <w:left w:val="none" w:sz="0" w:space="0" w:color="auto"/>
            <w:bottom w:val="none" w:sz="0" w:space="0" w:color="auto"/>
            <w:right w:val="none" w:sz="0" w:space="0" w:color="auto"/>
          </w:divBdr>
        </w:div>
        <w:div w:id="1684698603">
          <w:marLeft w:val="0"/>
          <w:marRight w:val="0"/>
          <w:marTop w:val="0"/>
          <w:marBottom w:val="0"/>
          <w:divBdr>
            <w:top w:val="none" w:sz="0" w:space="0" w:color="auto"/>
            <w:left w:val="none" w:sz="0" w:space="0" w:color="auto"/>
            <w:bottom w:val="none" w:sz="0" w:space="0" w:color="auto"/>
            <w:right w:val="none" w:sz="0" w:space="0" w:color="auto"/>
          </w:divBdr>
        </w:div>
        <w:div w:id="1785424276">
          <w:marLeft w:val="0"/>
          <w:marRight w:val="0"/>
          <w:marTop w:val="0"/>
          <w:marBottom w:val="0"/>
          <w:divBdr>
            <w:top w:val="none" w:sz="0" w:space="0" w:color="auto"/>
            <w:left w:val="none" w:sz="0" w:space="0" w:color="auto"/>
            <w:bottom w:val="none" w:sz="0" w:space="0" w:color="auto"/>
            <w:right w:val="none" w:sz="0" w:space="0" w:color="auto"/>
          </w:divBdr>
        </w:div>
        <w:div w:id="1848448681">
          <w:marLeft w:val="0"/>
          <w:marRight w:val="0"/>
          <w:marTop w:val="0"/>
          <w:marBottom w:val="0"/>
          <w:divBdr>
            <w:top w:val="none" w:sz="0" w:space="0" w:color="auto"/>
            <w:left w:val="none" w:sz="0" w:space="0" w:color="auto"/>
            <w:bottom w:val="none" w:sz="0" w:space="0" w:color="auto"/>
            <w:right w:val="none" w:sz="0" w:space="0" w:color="auto"/>
          </w:divBdr>
        </w:div>
        <w:div w:id="1652171502">
          <w:marLeft w:val="0"/>
          <w:marRight w:val="0"/>
          <w:marTop w:val="0"/>
          <w:marBottom w:val="0"/>
          <w:divBdr>
            <w:top w:val="none" w:sz="0" w:space="0" w:color="auto"/>
            <w:left w:val="none" w:sz="0" w:space="0" w:color="auto"/>
            <w:bottom w:val="none" w:sz="0" w:space="0" w:color="auto"/>
            <w:right w:val="none" w:sz="0" w:space="0" w:color="auto"/>
          </w:divBdr>
        </w:div>
        <w:div w:id="151024990">
          <w:marLeft w:val="0"/>
          <w:marRight w:val="0"/>
          <w:marTop w:val="0"/>
          <w:marBottom w:val="0"/>
          <w:divBdr>
            <w:top w:val="none" w:sz="0" w:space="0" w:color="auto"/>
            <w:left w:val="none" w:sz="0" w:space="0" w:color="auto"/>
            <w:bottom w:val="none" w:sz="0" w:space="0" w:color="auto"/>
            <w:right w:val="none" w:sz="0" w:space="0" w:color="auto"/>
          </w:divBdr>
        </w:div>
        <w:div w:id="883907067">
          <w:marLeft w:val="0"/>
          <w:marRight w:val="0"/>
          <w:marTop w:val="0"/>
          <w:marBottom w:val="0"/>
          <w:divBdr>
            <w:top w:val="none" w:sz="0" w:space="0" w:color="auto"/>
            <w:left w:val="none" w:sz="0" w:space="0" w:color="auto"/>
            <w:bottom w:val="none" w:sz="0" w:space="0" w:color="auto"/>
            <w:right w:val="none" w:sz="0" w:space="0" w:color="auto"/>
          </w:divBdr>
        </w:div>
        <w:div w:id="627053924">
          <w:marLeft w:val="0"/>
          <w:marRight w:val="0"/>
          <w:marTop w:val="0"/>
          <w:marBottom w:val="0"/>
          <w:divBdr>
            <w:top w:val="none" w:sz="0" w:space="0" w:color="auto"/>
            <w:left w:val="none" w:sz="0" w:space="0" w:color="auto"/>
            <w:bottom w:val="none" w:sz="0" w:space="0" w:color="auto"/>
            <w:right w:val="none" w:sz="0" w:space="0" w:color="auto"/>
          </w:divBdr>
        </w:div>
        <w:div w:id="692461732">
          <w:marLeft w:val="0"/>
          <w:marRight w:val="0"/>
          <w:marTop w:val="0"/>
          <w:marBottom w:val="0"/>
          <w:divBdr>
            <w:top w:val="none" w:sz="0" w:space="0" w:color="auto"/>
            <w:left w:val="none" w:sz="0" w:space="0" w:color="auto"/>
            <w:bottom w:val="none" w:sz="0" w:space="0" w:color="auto"/>
            <w:right w:val="none" w:sz="0" w:space="0" w:color="auto"/>
          </w:divBdr>
        </w:div>
        <w:div w:id="1048798546">
          <w:marLeft w:val="0"/>
          <w:marRight w:val="0"/>
          <w:marTop w:val="0"/>
          <w:marBottom w:val="0"/>
          <w:divBdr>
            <w:top w:val="none" w:sz="0" w:space="0" w:color="auto"/>
            <w:left w:val="none" w:sz="0" w:space="0" w:color="auto"/>
            <w:bottom w:val="none" w:sz="0" w:space="0" w:color="auto"/>
            <w:right w:val="none" w:sz="0" w:space="0" w:color="auto"/>
          </w:divBdr>
        </w:div>
        <w:div w:id="613708397">
          <w:marLeft w:val="0"/>
          <w:marRight w:val="0"/>
          <w:marTop w:val="0"/>
          <w:marBottom w:val="0"/>
          <w:divBdr>
            <w:top w:val="none" w:sz="0" w:space="0" w:color="auto"/>
            <w:left w:val="none" w:sz="0" w:space="0" w:color="auto"/>
            <w:bottom w:val="none" w:sz="0" w:space="0" w:color="auto"/>
            <w:right w:val="none" w:sz="0" w:space="0" w:color="auto"/>
          </w:divBdr>
        </w:div>
        <w:div w:id="1575698983">
          <w:marLeft w:val="0"/>
          <w:marRight w:val="0"/>
          <w:marTop w:val="0"/>
          <w:marBottom w:val="0"/>
          <w:divBdr>
            <w:top w:val="none" w:sz="0" w:space="0" w:color="auto"/>
            <w:left w:val="none" w:sz="0" w:space="0" w:color="auto"/>
            <w:bottom w:val="none" w:sz="0" w:space="0" w:color="auto"/>
            <w:right w:val="none" w:sz="0" w:space="0" w:color="auto"/>
          </w:divBdr>
        </w:div>
        <w:div w:id="1566724179">
          <w:marLeft w:val="0"/>
          <w:marRight w:val="0"/>
          <w:marTop w:val="0"/>
          <w:marBottom w:val="0"/>
          <w:divBdr>
            <w:top w:val="none" w:sz="0" w:space="0" w:color="auto"/>
            <w:left w:val="none" w:sz="0" w:space="0" w:color="auto"/>
            <w:bottom w:val="none" w:sz="0" w:space="0" w:color="auto"/>
            <w:right w:val="none" w:sz="0" w:space="0" w:color="auto"/>
          </w:divBdr>
        </w:div>
        <w:div w:id="580717130">
          <w:marLeft w:val="0"/>
          <w:marRight w:val="0"/>
          <w:marTop w:val="0"/>
          <w:marBottom w:val="0"/>
          <w:divBdr>
            <w:top w:val="none" w:sz="0" w:space="0" w:color="auto"/>
            <w:left w:val="none" w:sz="0" w:space="0" w:color="auto"/>
            <w:bottom w:val="none" w:sz="0" w:space="0" w:color="auto"/>
            <w:right w:val="none" w:sz="0" w:space="0" w:color="auto"/>
          </w:divBdr>
        </w:div>
        <w:div w:id="1173691766">
          <w:marLeft w:val="0"/>
          <w:marRight w:val="0"/>
          <w:marTop w:val="0"/>
          <w:marBottom w:val="0"/>
          <w:divBdr>
            <w:top w:val="none" w:sz="0" w:space="0" w:color="auto"/>
            <w:left w:val="none" w:sz="0" w:space="0" w:color="auto"/>
            <w:bottom w:val="none" w:sz="0" w:space="0" w:color="auto"/>
            <w:right w:val="none" w:sz="0" w:space="0" w:color="auto"/>
          </w:divBdr>
        </w:div>
        <w:div w:id="1533567569">
          <w:marLeft w:val="0"/>
          <w:marRight w:val="0"/>
          <w:marTop w:val="0"/>
          <w:marBottom w:val="0"/>
          <w:divBdr>
            <w:top w:val="none" w:sz="0" w:space="0" w:color="auto"/>
            <w:left w:val="none" w:sz="0" w:space="0" w:color="auto"/>
            <w:bottom w:val="none" w:sz="0" w:space="0" w:color="auto"/>
            <w:right w:val="none" w:sz="0" w:space="0" w:color="auto"/>
          </w:divBdr>
        </w:div>
        <w:div w:id="1386876980">
          <w:marLeft w:val="0"/>
          <w:marRight w:val="0"/>
          <w:marTop w:val="0"/>
          <w:marBottom w:val="0"/>
          <w:divBdr>
            <w:top w:val="none" w:sz="0" w:space="0" w:color="auto"/>
            <w:left w:val="none" w:sz="0" w:space="0" w:color="auto"/>
            <w:bottom w:val="none" w:sz="0" w:space="0" w:color="auto"/>
            <w:right w:val="none" w:sz="0" w:space="0" w:color="auto"/>
          </w:divBdr>
        </w:div>
        <w:div w:id="774059583">
          <w:marLeft w:val="0"/>
          <w:marRight w:val="0"/>
          <w:marTop w:val="0"/>
          <w:marBottom w:val="0"/>
          <w:divBdr>
            <w:top w:val="none" w:sz="0" w:space="0" w:color="auto"/>
            <w:left w:val="none" w:sz="0" w:space="0" w:color="auto"/>
            <w:bottom w:val="none" w:sz="0" w:space="0" w:color="auto"/>
            <w:right w:val="none" w:sz="0" w:space="0" w:color="auto"/>
          </w:divBdr>
        </w:div>
        <w:div w:id="893547213">
          <w:marLeft w:val="0"/>
          <w:marRight w:val="0"/>
          <w:marTop w:val="0"/>
          <w:marBottom w:val="0"/>
          <w:divBdr>
            <w:top w:val="none" w:sz="0" w:space="0" w:color="auto"/>
            <w:left w:val="none" w:sz="0" w:space="0" w:color="auto"/>
            <w:bottom w:val="none" w:sz="0" w:space="0" w:color="auto"/>
            <w:right w:val="none" w:sz="0" w:space="0" w:color="auto"/>
          </w:divBdr>
        </w:div>
        <w:div w:id="1044479742">
          <w:marLeft w:val="0"/>
          <w:marRight w:val="0"/>
          <w:marTop w:val="0"/>
          <w:marBottom w:val="0"/>
          <w:divBdr>
            <w:top w:val="none" w:sz="0" w:space="0" w:color="auto"/>
            <w:left w:val="none" w:sz="0" w:space="0" w:color="auto"/>
            <w:bottom w:val="none" w:sz="0" w:space="0" w:color="auto"/>
            <w:right w:val="none" w:sz="0" w:space="0" w:color="auto"/>
          </w:divBdr>
        </w:div>
        <w:div w:id="250742261">
          <w:marLeft w:val="0"/>
          <w:marRight w:val="0"/>
          <w:marTop w:val="0"/>
          <w:marBottom w:val="0"/>
          <w:divBdr>
            <w:top w:val="none" w:sz="0" w:space="0" w:color="auto"/>
            <w:left w:val="none" w:sz="0" w:space="0" w:color="auto"/>
            <w:bottom w:val="none" w:sz="0" w:space="0" w:color="auto"/>
            <w:right w:val="none" w:sz="0" w:space="0" w:color="auto"/>
          </w:divBdr>
        </w:div>
        <w:div w:id="428163911">
          <w:marLeft w:val="0"/>
          <w:marRight w:val="0"/>
          <w:marTop w:val="0"/>
          <w:marBottom w:val="0"/>
          <w:divBdr>
            <w:top w:val="none" w:sz="0" w:space="0" w:color="auto"/>
            <w:left w:val="none" w:sz="0" w:space="0" w:color="auto"/>
            <w:bottom w:val="none" w:sz="0" w:space="0" w:color="auto"/>
            <w:right w:val="none" w:sz="0" w:space="0" w:color="auto"/>
          </w:divBdr>
        </w:div>
        <w:div w:id="193856514">
          <w:marLeft w:val="0"/>
          <w:marRight w:val="0"/>
          <w:marTop w:val="0"/>
          <w:marBottom w:val="0"/>
          <w:divBdr>
            <w:top w:val="none" w:sz="0" w:space="0" w:color="auto"/>
            <w:left w:val="none" w:sz="0" w:space="0" w:color="auto"/>
            <w:bottom w:val="none" w:sz="0" w:space="0" w:color="auto"/>
            <w:right w:val="none" w:sz="0" w:space="0" w:color="auto"/>
          </w:divBdr>
        </w:div>
        <w:div w:id="1355115787">
          <w:marLeft w:val="0"/>
          <w:marRight w:val="0"/>
          <w:marTop w:val="0"/>
          <w:marBottom w:val="0"/>
          <w:divBdr>
            <w:top w:val="none" w:sz="0" w:space="0" w:color="auto"/>
            <w:left w:val="none" w:sz="0" w:space="0" w:color="auto"/>
            <w:bottom w:val="none" w:sz="0" w:space="0" w:color="auto"/>
            <w:right w:val="none" w:sz="0" w:space="0" w:color="auto"/>
          </w:divBdr>
        </w:div>
        <w:div w:id="1429623628">
          <w:marLeft w:val="0"/>
          <w:marRight w:val="0"/>
          <w:marTop w:val="0"/>
          <w:marBottom w:val="0"/>
          <w:divBdr>
            <w:top w:val="none" w:sz="0" w:space="0" w:color="auto"/>
            <w:left w:val="none" w:sz="0" w:space="0" w:color="auto"/>
            <w:bottom w:val="none" w:sz="0" w:space="0" w:color="auto"/>
            <w:right w:val="none" w:sz="0" w:space="0" w:color="auto"/>
          </w:divBdr>
        </w:div>
        <w:div w:id="893932333">
          <w:marLeft w:val="0"/>
          <w:marRight w:val="0"/>
          <w:marTop w:val="0"/>
          <w:marBottom w:val="0"/>
          <w:divBdr>
            <w:top w:val="none" w:sz="0" w:space="0" w:color="auto"/>
            <w:left w:val="none" w:sz="0" w:space="0" w:color="auto"/>
            <w:bottom w:val="none" w:sz="0" w:space="0" w:color="auto"/>
            <w:right w:val="none" w:sz="0" w:space="0" w:color="auto"/>
          </w:divBdr>
        </w:div>
        <w:div w:id="2127967969">
          <w:marLeft w:val="0"/>
          <w:marRight w:val="0"/>
          <w:marTop w:val="0"/>
          <w:marBottom w:val="0"/>
          <w:divBdr>
            <w:top w:val="none" w:sz="0" w:space="0" w:color="auto"/>
            <w:left w:val="none" w:sz="0" w:space="0" w:color="auto"/>
            <w:bottom w:val="none" w:sz="0" w:space="0" w:color="auto"/>
            <w:right w:val="none" w:sz="0" w:space="0" w:color="auto"/>
          </w:divBdr>
        </w:div>
        <w:div w:id="2099906365">
          <w:marLeft w:val="0"/>
          <w:marRight w:val="0"/>
          <w:marTop w:val="0"/>
          <w:marBottom w:val="0"/>
          <w:divBdr>
            <w:top w:val="none" w:sz="0" w:space="0" w:color="auto"/>
            <w:left w:val="none" w:sz="0" w:space="0" w:color="auto"/>
            <w:bottom w:val="none" w:sz="0" w:space="0" w:color="auto"/>
            <w:right w:val="none" w:sz="0" w:space="0" w:color="auto"/>
          </w:divBdr>
        </w:div>
        <w:div w:id="693772257">
          <w:marLeft w:val="0"/>
          <w:marRight w:val="0"/>
          <w:marTop w:val="0"/>
          <w:marBottom w:val="0"/>
          <w:divBdr>
            <w:top w:val="none" w:sz="0" w:space="0" w:color="auto"/>
            <w:left w:val="none" w:sz="0" w:space="0" w:color="auto"/>
            <w:bottom w:val="none" w:sz="0" w:space="0" w:color="auto"/>
            <w:right w:val="none" w:sz="0" w:space="0" w:color="auto"/>
          </w:divBdr>
        </w:div>
        <w:div w:id="111216875">
          <w:marLeft w:val="0"/>
          <w:marRight w:val="0"/>
          <w:marTop w:val="0"/>
          <w:marBottom w:val="0"/>
          <w:divBdr>
            <w:top w:val="none" w:sz="0" w:space="0" w:color="auto"/>
            <w:left w:val="none" w:sz="0" w:space="0" w:color="auto"/>
            <w:bottom w:val="none" w:sz="0" w:space="0" w:color="auto"/>
            <w:right w:val="none" w:sz="0" w:space="0" w:color="auto"/>
          </w:divBdr>
        </w:div>
        <w:div w:id="1005203009">
          <w:marLeft w:val="0"/>
          <w:marRight w:val="0"/>
          <w:marTop w:val="0"/>
          <w:marBottom w:val="0"/>
          <w:divBdr>
            <w:top w:val="none" w:sz="0" w:space="0" w:color="auto"/>
            <w:left w:val="none" w:sz="0" w:space="0" w:color="auto"/>
            <w:bottom w:val="none" w:sz="0" w:space="0" w:color="auto"/>
            <w:right w:val="none" w:sz="0" w:space="0" w:color="auto"/>
          </w:divBdr>
        </w:div>
        <w:div w:id="2019579679">
          <w:marLeft w:val="0"/>
          <w:marRight w:val="0"/>
          <w:marTop w:val="0"/>
          <w:marBottom w:val="0"/>
          <w:divBdr>
            <w:top w:val="none" w:sz="0" w:space="0" w:color="auto"/>
            <w:left w:val="none" w:sz="0" w:space="0" w:color="auto"/>
            <w:bottom w:val="none" w:sz="0" w:space="0" w:color="auto"/>
            <w:right w:val="none" w:sz="0" w:space="0" w:color="auto"/>
          </w:divBdr>
        </w:div>
        <w:div w:id="1505512003">
          <w:marLeft w:val="0"/>
          <w:marRight w:val="0"/>
          <w:marTop w:val="0"/>
          <w:marBottom w:val="0"/>
          <w:divBdr>
            <w:top w:val="none" w:sz="0" w:space="0" w:color="auto"/>
            <w:left w:val="none" w:sz="0" w:space="0" w:color="auto"/>
            <w:bottom w:val="none" w:sz="0" w:space="0" w:color="auto"/>
            <w:right w:val="none" w:sz="0" w:space="0" w:color="auto"/>
          </w:divBdr>
        </w:div>
      </w:divsChild>
    </w:div>
    <w:div w:id="363099089">
      <w:bodyDiv w:val="1"/>
      <w:marLeft w:val="0"/>
      <w:marRight w:val="0"/>
      <w:marTop w:val="0"/>
      <w:marBottom w:val="0"/>
      <w:divBdr>
        <w:top w:val="none" w:sz="0" w:space="0" w:color="auto"/>
        <w:left w:val="none" w:sz="0" w:space="0" w:color="auto"/>
        <w:bottom w:val="none" w:sz="0" w:space="0" w:color="auto"/>
        <w:right w:val="none" w:sz="0" w:space="0" w:color="auto"/>
      </w:divBdr>
    </w:div>
    <w:div w:id="555045800">
      <w:bodyDiv w:val="1"/>
      <w:marLeft w:val="0"/>
      <w:marRight w:val="0"/>
      <w:marTop w:val="0"/>
      <w:marBottom w:val="0"/>
      <w:divBdr>
        <w:top w:val="none" w:sz="0" w:space="0" w:color="auto"/>
        <w:left w:val="none" w:sz="0" w:space="0" w:color="auto"/>
        <w:bottom w:val="none" w:sz="0" w:space="0" w:color="auto"/>
        <w:right w:val="none" w:sz="0" w:space="0" w:color="auto"/>
      </w:divBdr>
      <w:divsChild>
        <w:div w:id="2076662876">
          <w:marLeft w:val="0"/>
          <w:marRight w:val="0"/>
          <w:marTop w:val="0"/>
          <w:marBottom w:val="0"/>
          <w:divBdr>
            <w:top w:val="none" w:sz="0" w:space="0" w:color="auto"/>
            <w:left w:val="none" w:sz="0" w:space="0" w:color="auto"/>
            <w:bottom w:val="none" w:sz="0" w:space="0" w:color="auto"/>
            <w:right w:val="none" w:sz="0" w:space="0" w:color="auto"/>
          </w:divBdr>
        </w:div>
        <w:div w:id="1249850863">
          <w:marLeft w:val="0"/>
          <w:marRight w:val="0"/>
          <w:marTop w:val="0"/>
          <w:marBottom w:val="0"/>
          <w:divBdr>
            <w:top w:val="none" w:sz="0" w:space="0" w:color="auto"/>
            <w:left w:val="none" w:sz="0" w:space="0" w:color="auto"/>
            <w:bottom w:val="none" w:sz="0" w:space="0" w:color="auto"/>
            <w:right w:val="none" w:sz="0" w:space="0" w:color="auto"/>
          </w:divBdr>
        </w:div>
      </w:divsChild>
    </w:div>
    <w:div w:id="562915364">
      <w:bodyDiv w:val="1"/>
      <w:marLeft w:val="0"/>
      <w:marRight w:val="0"/>
      <w:marTop w:val="0"/>
      <w:marBottom w:val="0"/>
      <w:divBdr>
        <w:top w:val="none" w:sz="0" w:space="0" w:color="auto"/>
        <w:left w:val="none" w:sz="0" w:space="0" w:color="auto"/>
        <w:bottom w:val="none" w:sz="0" w:space="0" w:color="auto"/>
        <w:right w:val="none" w:sz="0" w:space="0" w:color="auto"/>
      </w:divBdr>
    </w:div>
    <w:div w:id="577516937">
      <w:bodyDiv w:val="1"/>
      <w:marLeft w:val="0"/>
      <w:marRight w:val="0"/>
      <w:marTop w:val="0"/>
      <w:marBottom w:val="0"/>
      <w:divBdr>
        <w:top w:val="none" w:sz="0" w:space="0" w:color="auto"/>
        <w:left w:val="none" w:sz="0" w:space="0" w:color="auto"/>
        <w:bottom w:val="none" w:sz="0" w:space="0" w:color="auto"/>
        <w:right w:val="none" w:sz="0" w:space="0" w:color="auto"/>
      </w:divBdr>
      <w:divsChild>
        <w:div w:id="487064564">
          <w:marLeft w:val="0"/>
          <w:marRight w:val="0"/>
          <w:marTop w:val="0"/>
          <w:marBottom w:val="0"/>
          <w:divBdr>
            <w:top w:val="none" w:sz="0" w:space="0" w:color="auto"/>
            <w:left w:val="none" w:sz="0" w:space="0" w:color="auto"/>
            <w:bottom w:val="none" w:sz="0" w:space="0" w:color="auto"/>
            <w:right w:val="none" w:sz="0" w:space="0" w:color="auto"/>
          </w:divBdr>
        </w:div>
      </w:divsChild>
    </w:div>
    <w:div w:id="710224438">
      <w:bodyDiv w:val="1"/>
      <w:marLeft w:val="0"/>
      <w:marRight w:val="0"/>
      <w:marTop w:val="0"/>
      <w:marBottom w:val="0"/>
      <w:divBdr>
        <w:top w:val="none" w:sz="0" w:space="0" w:color="auto"/>
        <w:left w:val="none" w:sz="0" w:space="0" w:color="auto"/>
        <w:bottom w:val="none" w:sz="0" w:space="0" w:color="auto"/>
        <w:right w:val="none" w:sz="0" w:space="0" w:color="auto"/>
      </w:divBdr>
    </w:div>
    <w:div w:id="722214242">
      <w:bodyDiv w:val="1"/>
      <w:marLeft w:val="0"/>
      <w:marRight w:val="0"/>
      <w:marTop w:val="0"/>
      <w:marBottom w:val="0"/>
      <w:divBdr>
        <w:top w:val="none" w:sz="0" w:space="0" w:color="auto"/>
        <w:left w:val="none" w:sz="0" w:space="0" w:color="auto"/>
        <w:bottom w:val="none" w:sz="0" w:space="0" w:color="auto"/>
        <w:right w:val="none" w:sz="0" w:space="0" w:color="auto"/>
      </w:divBdr>
    </w:div>
    <w:div w:id="744227264">
      <w:bodyDiv w:val="1"/>
      <w:marLeft w:val="0"/>
      <w:marRight w:val="0"/>
      <w:marTop w:val="0"/>
      <w:marBottom w:val="0"/>
      <w:divBdr>
        <w:top w:val="none" w:sz="0" w:space="0" w:color="auto"/>
        <w:left w:val="none" w:sz="0" w:space="0" w:color="auto"/>
        <w:bottom w:val="none" w:sz="0" w:space="0" w:color="auto"/>
        <w:right w:val="none" w:sz="0" w:space="0" w:color="auto"/>
      </w:divBdr>
    </w:div>
    <w:div w:id="767392308">
      <w:bodyDiv w:val="1"/>
      <w:marLeft w:val="0"/>
      <w:marRight w:val="0"/>
      <w:marTop w:val="0"/>
      <w:marBottom w:val="0"/>
      <w:divBdr>
        <w:top w:val="none" w:sz="0" w:space="0" w:color="auto"/>
        <w:left w:val="none" w:sz="0" w:space="0" w:color="auto"/>
        <w:bottom w:val="none" w:sz="0" w:space="0" w:color="auto"/>
        <w:right w:val="none" w:sz="0" w:space="0" w:color="auto"/>
      </w:divBdr>
      <w:divsChild>
        <w:div w:id="932393645">
          <w:marLeft w:val="0"/>
          <w:marRight w:val="0"/>
          <w:marTop w:val="0"/>
          <w:marBottom w:val="0"/>
          <w:divBdr>
            <w:top w:val="none" w:sz="0" w:space="0" w:color="auto"/>
            <w:left w:val="none" w:sz="0" w:space="0" w:color="auto"/>
            <w:bottom w:val="none" w:sz="0" w:space="0" w:color="auto"/>
            <w:right w:val="none" w:sz="0" w:space="0" w:color="auto"/>
          </w:divBdr>
        </w:div>
      </w:divsChild>
    </w:div>
    <w:div w:id="947396619">
      <w:bodyDiv w:val="1"/>
      <w:marLeft w:val="0"/>
      <w:marRight w:val="0"/>
      <w:marTop w:val="0"/>
      <w:marBottom w:val="0"/>
      <w:divBdr>
        <w:top w:val="none" w:sz="0" w:space="0" w:color="auto"/>
        <w:left w:val="none" w:sz="0" w:space="0" w:color="auto"/>
        <w:bottom w:val="none" w:sz="0" w:space="0" w:color="auto"/>
        <w:right w:val="none" w:sz="0" w:space="0" w:color="auto"/>
      </w:divBdr>
    </w:div>
    <w:div w:id="982928113">
      <w:bodyDiv w:val="1"/>
      <w:marLeft w:val="0"/>
      <w:marRight w:val="0"/>
      <w:marTop w:val="0"/>
      <w:marBottom w:val="0"/>
      <w:divBdr>
        <w:top w:val="none" w:sz="0" w:space="0" w:color="auto"/>
        <w:left w:val="none" w:sz="0" w:space="0" w:color="auto"/>
        <w:bottom w:val="none" w:sz="0" w:space="0" w:color="auto"/>
        <w:right w:val="none" w:sz="0" w:space="0" w:color="auto"/>
      </w:divBdr>
    </w:div>
    <w:div w:id="1042485642">
      <w:bodyDiv w:val="1"/>
      <w:marLeft w:val="0"/>
      <w:marRight w:val="0"/>
      <w:marTop w:val="0"/>
      <w:marBottom w:val="0"/>
      <w:divBdr>
        <w:top w:val="none" w:sz="0" w:space="0" w:color="auto"/>
        <w:left w:val="none" w:sz="0" w:space="0" w:color="auto"/>
        <w:bottom w:val="none" w:sz="0" w:space="0" w:color="auto"/>
        <w:right w:val="none" w:sz="0" w:space="0" w:color="auto"/>
      </w:divBdr>
    </w:div>
    <w:div w:id="1056244275">
      <w:bodyDiv w:val="1"/>
      <w:marLeft w:val="0"/>
      <w:marRight w:val="0"/>
      <w:marTop w:val="0"/>
      <w:marBottom w:val="0"/>
      <w:divBdr>
        <w:top w:val="none" w:sz="0" w:space="0" w:color="auto"/>
        <w:left w:val="none" w:sz="0" w:space="0" w:color="auto"/>
        <w:bottom w:val="none" w:sz="0" w:space="0" w:color="auto"/>
        <w:right w:val="none" w:sz="0" w:space="0" w:color="auto"/>
      </w:divBdr>
    </w:div>
    <w:div w:id="1112825113">
      <w:bodyDiv w:val="1"/>
      <w:marLeft w:val="0"/>
      <w:marRight w:val="0"/>
      <w:marTop w:val="0"/>
      <w:marBottom w:val="0"/>
      <w:divBdr>
        <w:top w:val="none" w:sz="0" w:space="0" w:color="auto"/>
        <w:left w:val="none" w:sz="0" w:space="0" w:color="auto"/>
        <w:bottom w:val="none" w:sz="0" w:space="0" w:color="auto"/>
        <w:right w:val="none" w:sz="0" w:space="0" w:color="auto"/>
      </w:divBdr>
    </w:div>
    <w:div w:id="1174957426">
      <w:bodyDiv w:val="1"/>
      <w:marLeft w:val="0"/>
      <w:marRight w:val="0"/>
      <w:marTop w:val="0"/>
      <w:marBottom w:val="0"/>
      <w:divBdr>
        <w:top w:val="none" w:sz="0" w:space="0" w:color="auto"/>
        <w:left w:val="none" w:sz="0" w:space="0" w:color="auto"/>
        <w:bottom w:val="none" w:sz="0" w:space="0" w:color="auto"/>
        <w:right w:val="none" w:sz="0" w:space="0" w:color="auto"/>
      </w:divBdr>
    </w:div>
    <w:div w:id="1254778818">
      <w:bodyDiv w:val="1"/>
      <w:marLeft w:val="0"/>
      <w:marRight w:val="0"/>
      <w:marTop w:val="0"/>
      <w:marBottom w:val="0"/>
      <w:divBdr>
        <w:top w:val="none" w:sz="0" w:space="0" w:color="auto"/>
        <w:left w:val="none" w:sz="0" w:space="0" w:color="auto"/>
        <w:bottom w:val="none" w:sz="0" w:space="0" w:color="auto"/>
        <w:right w:val="none" w:sz="0" w:space="0" w:color="auto"/>
      </w:divBdr>
      <w:divsChild>
        <w:div w:id="578947194">
          <w:marLeft w:val="0"/>
          <w:marRight w:val="0"/>
          <w:marTop w:val="0"/>
          <w:marBottom w:val="0"/>
          <w:divBdr>
            <w:top w:val="none" w:sz="0" w:space="0" w:color="auto"/>
            <w:left w:val="none" w:sz="0" w:space="0" w:color="auto"/>
            <w:bottom w:val="none" w:sz="0" w:space="0" w:color="auto"/>
            <w:right w:val="none" w:sz="0" w:space="0" w:color="auto"/>
          </w:divBdr>
        </w:div>
      </w:divsChild>
    </w:div>
    <w:div w:id="1264455492">
      <w:bodyDiv w:val="1"/>
      <w:marLeft w:val="0"/>
      <w:marRight w:val="0"/>
      <w:marTop w:val="0"/>
      <w:marBottom w:val="0"/>
      <w:divBdr>
        <w:top w:val="none" w:sz="0" w:space="0" w:color="auto"/>
        <w:left w:val="none" w:sz="0" w:space="0" w:color="auto"/>
        <w:bottom w:val="none" w:sz="0" w:space="0" w:color="auto"/>
        <w:right w:val="none" w:sz="0" w:space="0" w:color="auto"/>
      </w:divBdr>
    </w:div>
    <w:div w:id="1288312076">
      <w:bodyDiv w:val="1"/>
      <w:marLeft w:val="0"/>
      <w:marRight w:val="0"/>
      <w:marTop w:val="0"/>
      <w:marBottom w:val="0"/>
      <w:divBdr>
        <w:top w:val="none" w:sz="0" w:space="0" w:color="auto"/>
        <w:left w:val="none" w:sz="0" w:space="0" w:color="auto"/>
        <w:bottom w:val="none" w:sz="0" w:space="0" w:color="auto"/>
        <w:right w:val="none" w:sz="0" w:space="0" w:color="auto"/>
      </w:divBdr>
    </w:div>
    <w:div w:id="1293513145">
      <w:bodyDiv w:val="1"/>
      <w:marLeft w:val="0"/>
      <w:marRight w:val="0"/>
      <w:marTop w:val="0"/>
      <w:marBottom w:val="0"/>
      <w:divBdr>
        <w:top w:val="none" w:sz="0" w:space="0" w:color="auto"/>
        <w:left w:val="none" w:sz="0" w:space="0" w:color="auto"/>
        <w:bottom w:val="none" w:sz="0" w:space="0" w:color="auto"/>
        <w:right w:val="none" w:sz="0" w:space="0" w:color="auto"/>
      </w:divBdr>
    </w:div>
    <w:div w:id="1300108521">
      <w:bodyDiv w:val="1"/>
      <w:marLeft w:val="0"/>
      <w:marRight w:val="0"/>
      <w:marTop w:val="0"/>
      <w:marBottom w:val="0"/>
      <w:divBdr>
        <w:top w:val="none" w:sz="0" w:space="0" w:color="auto"/>
        <w:left w:val="none" w:sz="0" w:space="0" w:color="auto"/>
        <w:bottom w:val="none" w:sz="0" w:space="0" w:color="auto"/>
        <w:right w:val="none" w:sz="0" w:space="0" w:color="auto"/>
      </w:divBdr>
      <w:divsChild>
        <w:div w:id="121387835">
          <w:marLeft w:val="720"/>
          <w:marRight w:val="0"/>
          <w:marTop w:val="0"/>
          <w:marBottom w:val="0"/>
          <w:divBdr>
            <w:top w:val="none" w:sz="0" w:space="0" w:color="auto"/>
            <w:left w:val="none" w:sz="0" w:space="0" w:color="auto"/>
            <w:bottom w:val="none" w:sz="0" w:space="0" w:color="auto"/>
            <w:right w:val="none" w:sz="0" w:space="0" w:color="auto"/>
          </w:divBdr>
        </w:div>
        <w:div w:id="1937978605">
          <w:marLeft w:val="720"/>
          <w:marRight w:val="0"/>
          <w:marTop w:val="0"/>
          <w:marBottom w:val="0"/>
          <w:divBdr>
            <w:top w:val="none" w:sz="0" w:space="0" w:color="auto"/>
            <w:left w:val="none" w:sz="0" w:space="0" w:color="auto"/>
            <w:bottom w:val="none" w:sz="0" w:space="0" w:color="auto"/>
            <w:right w:val="none" w:sz="0" w:space="0" w:color="auto"/>
          </w:divBdr>
        </w:div>
        <w:div w:id="1149322163">
          <w:marLeft w:val="720"/>
          <w:marRight w:val="0"/>
          <w:marTop w:val="0"/>
          <w:marBottom w:val="0"/>
          <w:divBdr>
            <w:top w:val="none" w:sz="0" w:space="0" w:color="auto"/>
            <w:left w:val="none" w:sz="0" w:space="0" w:color="auto"/>
            <w:bottom w:val="none" w:sz="0" w:space="0" w:color="auto"/>
            <w:right w:val="none" w:sz="0" w:space="0" w:color="auto"/>
          </w:divBdr>
        </w:div>
      </w:divsChild>
    </w:div>
    <w:div w:id="1471558991">
      <w:bodyDiv w:val="1"/>
      <w:marLeft w:val="0"/>
      <w:marRight w:val="0"/>
      <w:marTop w:val="0"/>
      <w:marBottom w:val="0"/>
      <w:divBdr>
        <w:top w:val="none" w:sz="0" w:space="0" w:color="auto"/>
        <w:left w:val="none" w:sz="0" w:space="0" w:color="auto"/>
        <w:bottom w:val="none" w:sz="0" w:space="0" w:color="auto"/>
        <w:right w:val="none" w:sz="0" w:space="0" w:color="auto"/>
      </w:divBdr>
      <w:divsChild>
        <w:div w:id="1568878118">
          <w:marLeft w:val="720"/>
          <w:marRight w:val="0"/>
          <w:marTop w:val="0"/>
          <w:marBottom w:val="0"/>
          <w:divBdr>
            <w:top w:val="none" w:sz="0" w:space="0" w:color="auto"/>
            <w:left w:val="none" w:sz="0" w:space="0" w:color="auto"/>
            <w:bottom w:val="none" w:sz="0" w:space="0" w:color="auto"/>
            <w:right w:val="none" w:sz="0" w:space="0" w:color="auto"/>
          </w:divBdr>
        </w:div>
        <w:div w:id="381441122">
          <w:marLeft w:val="720"/>
          <w:marRight w:val="0"/>
          <w:marTop w:val="0"/>
          <w:marBottom w:val="0"/>
          <w:divBdr>
            <w:top w:val="none" w:sz="0" w:space="0" w:color="auto"/>
            <w:left w:val="none" w:sz="0" w:space="0" w:color="auto"/>
            <w:bottom w:val="none" w:sz="0" w:space="0" w:color="auto"/>
            <w:right w:val="none" w:sz="0" w:space="0" w:color="auto"/>
          </w:divBdr>
        </w:div>
        <w:div w:id="1013219296">
          <w:marLeft w:val="720"/>
          <w:marRight w:val="0"/>
          <w:marTop w:val="0"/>
          <w:marBottom w:val="0"/>
          <w:divBdr>
            <w:top w:val="none" w:sz="0" w:space="0" w:color="auto"/>
            <w:left w:val="none" w:sz="0" w:space="0" w:color="auto"/>
            <w:bottom w:val="none" w:sz="0" w:space="0" w:color="auto"/>
            <w:right w:val="none" w:sz="0" w:space="0" w:color="auto"/>
          </w:divBdr>
        </w:div>
        <w:div w:id="1348018454">
          <w:marLeft w:val="720"/>
          <w:marRight w:val="0"/>
          <w:marTop w:val="0"/>
          <w:marBottom w:val="0"/>
          <w:divBdr>
            <w:top w:val="none" w:sz="0" w:space="0" w:color="auto"/>
            <w:left w:val="none" w:sz="0" w:space="0" w:color="auto"/>
            <w:bottom w:val="none" w:sz="0" w:space="0" w:color="auto"/>
            <w:right w:val="none" w:sz="0" w:space="0" w:color="auto"/>
          </w:divBdr>
        </w:div>
      </w:divsChild>
    </w:div>
    <w:div w:id="1490321114">
      <w:bodyDiv w:val="1"/>
      <w:marLeft w:val="0"/>
      <w:marRight w:val="0"/>
      <w:marTop w:val="0"/>
      <w:marBottom w:val="0"/>
      <w:divBdr>
        <w:top w:val="none" w:sz="0" w:space="0" w:color="auto"/>
        <w:left w:val="none" w:sz="0" w:space="0" w:color="auto"/>
        <w:bottom w:val="none" w:sz="0" w:space="0" w:color="auto"/>
        <w:right w:val="none" w:sz="0" w:space="0" w:color="auto"/>
      </w:divBdr>
    </w:div>
    <w:div w:id="1508517164">
      <w:bodyDiv w:val="1"/>
      <w:marLeft w:val="0"/>
      <w:marRight w:val="0"/>
      <w:marTop w:val="0"/>
      <w:marBottom w:val="0"/>
      <w:divBdr>
        <w:top w:val="none" w:sz="0" w:space="0" w:color="auto"/>
        <w:left w:val="none" w:sz="0" w:space="0" w:color="auto"/>
        <w:bottom w:val="none" w:sz="0" w:space="0" w:color="auto"/>
        <w:right w:val="none" w:sz="0" w:space="0" w:color="auto"/>
      </w:divBdr>
      <w:divsChild>
        <w:div w:id="1263681331">
          <w:marLeft w:val="0"/>
          <w:marRight w:val="0"/>
          <w:marTop w:val="0"/>
          <w:marBottom w:val="0"/>
          <w:divBdr>
            <w:top w:val="none" w:sz="0" w:space="0" w:color="auto"/>
            <w:left w:val="none" w:sz="0" w:space="0" w:color="auto"/>
            <w:bottom w:val="none" w:sz="0" w:space="0" w:color="auto"/>
            <w:right w:val="none" w:sz="0" w:space="0" w:color="auto"/>
          </w:divBdr>
        </w:div>
        <w:div w:id="452137615">
          <w:marLeft w:val="0"/>
          <w:marRight w:val="0"/>
          <w:marTop w:val="0"/>
          <w:marBottom w:val="0"/>
          <w:divBdr>
            <w:top w:val="none" w:sz="0" w:space="0" w:color="auto"/>
            <w:left w:val="none" w:sz="0" w:space="0" w:color="auto"/>
            <w:bottom w:val="none" w:sz="0" w:space="0" w:color="auto"/>
            <w:right w:val="none" w:sz="0" w:space="0" w:color="auto"/>
          </w:divBdr>
        </w:div>
        <w:div w:id="322978326">
          <w:marLeft w:val="0"/>
          <w:marRight w:val="0"/>
          <w:marTop w:val="0"/>
          <w:marBottom w:val="0"/>
          <w:divBdr>
            <w:top w:val="none" w:sz="0" w:space="0" w:color="auto"/>
            <w:left w:val="none" w:sz="0" w:space="0" w:color="auto"/>
            <w:bottom w:val="none" w:sz="0" w:space="0" w:color="auto"/>
            <w:right w:val="none" w:sz="0" w:space="0" w:color="auto"/>
          </w:divBdr>
        </w:div>
      </w:divsChild>
    </w:div>
    <w:div w:id="1528060899">
      <w:bodyDiv w:val="1"/>
      <w:marLeft w:val="0"/>
      <w:marRight w:val="0"/>
      <w:marTop w:val="0"/>
      <w:marBottom w:val="0"/>
      <w:divBdr>
        <w:top w:val="none" w:sz="0" w:space="0" w:color="auto"/>
        <w:left w:val="none" w:sz="0" w:space="0" w:color="auto"/>
        <w:bottom w:val="none" w:sz="0" w:space="0" w:color="auto"/>
        <w:right w:val="none" w:sz="0" w:space="0" w:color="auto"/>
      </w:divBdr>
    </w:div>
    <w:div w:id="1613320707">
      <w:bodyDiv w:val="1"/>
      <w:marLeft w:val="0"/>
      <w:marRight w:val="0"/>
      <w:marTop w:val="0"/>
      <w:marBottom w:val="0"/>
      <w:divBdr>
        <w:top w:val="none" w:sz="0" w:space="0" w:color="auto"/>
        <w:left w:val="none" w:sz="0" w:space="0" w:color="auto"/>
        <w:bottom w:val="none" w:sz="0" w:space="0" w:color="auto"/>
        <w:right w:val="none" w:sz="0" w:space="0" w:color="auto"/>
      </w:divBdr>
      <w:divsChild>
        <w:div w:id="1381057809">
          <w:marLeft w:val="0"/>
          <w:marRight w:val="0"/>
          <w:marTop w:val="0"/>
          <w:marBottom w:val="0"/>
          <w:divBdr>
            <w:top w:val="none" w:sz="0" w:space="0" w:color="auto"/>
            <w:left w:val="none" w:sz="0" w:space="0" w:color="auto"/>
            <w:bottom w:val="none" w:sz="0" w:space="0" w:color="auto"/>
            <w:right w:val="none" w:sz="0" w:space="0" w:color="auto"/>
          </w:divBdr>
        </w:div>
        <w:div w:id="810630909">
          <w:marLeft w:val="0"/>
          <w:marRight w:val="0"/>
          <w:marTop w:val="0"/>
          <w:marBottom w:val="0"/>
          <w:divBdr>
            <w:top w:val="none" w:sz="0" w:space="0" w:color="auto"/>
            <w:left w:val="none" w:sz="0" w:space="0" w:color="auto"/>
            <w:bottom w:val="none" w:sz="0" w:space="0" w:color="auto"/>
            <w:right w:val="none" w:sz="0" w:space="0" w:color="auto"/>
          </w:divBdr>
        </w:div>
        <w:div w:id="2016304340">
          <w:marLeft w:val="0"/>
          <w:marRight w:val="0"/>
          <w:marTop w:val="0"/>
          <w:marBottom w:val="0"/>
          <w:divBdr>
            <w:top w:val="none" w:sz="0" w:space="0" w:color="auto"/>
            <w:left w:val="none" w:sz="0" w:space="0" w:color="auto"/>
            <w:bottom w:val="none" w:sz="0" w:space="0" w:color="auto"/>
            <w:right w:val="none" w:sz="0" w:space="0" w:color="auto"/>
          </w:divBdr>
        </w:div>
        <w:div w:id="1495536025">
          <w:marLeft w:val="0"/>
          <w:marRight w:val="0"/>
          <w:marTop w:val="0"/>
          <w:marBottom w:val="0"/>
          <w:divBdr>
            <w:top w:val="none" w:sz="0" w:space="0" w:color="auto"/>
            <w:left w:val="none" w:sz="0" w:space="0" w:color="auto"/>
            <w:bottom w:val="none" w:sz="0" w:space="0" w:color="auto"/>
            <w:right w:val="none" w:sz="0" w:space="0" w:color="auto"/>
          </w:divBdr>
        </w:div>
        <w:div w:id="890770829">
          <w:marLeft w:val="0"/>
          <w:marRight w:val="0"/>
          <w:marTop w:val="0"/>
          <w:marBottom w:val="0"/>
          <w:divBdr>
            <w:top w:val="none" w:sz="0" w:space="0" w:color="auto"/>
            <w:left w:val="none" w:sz="0" w:space="0" w:color="auto"/>
            <w:bottom w:val="none" w:sz="0" w:space="0" w:color="auto"/>
            <w:right w:val="none" w:sz="0" w:space="0" w:color="auto"/>
          </w:divBdr>
        </w:div>
      </w:divsChild>
    </w:div>
    <w:div w:id="1636058011">
      <w:bodyDiv w:val="1"/>
      <w:marLeft w:val="0"/>
      <w:marRight w:val="0"/>
      <w:marTop w:val="0"/>
      <w:marBottom w:val="0"/>
      <w:divBdr>
        <w:top w:val="none" w:sz="0" w:space="0" w:color="auto"/>
        <w:left w:val="none" w:sz="0" w:space="0" w:color="auto"/>
        <w:bottom w:val="none" w:sz="0" w:space="0" w:color="auto"/>
        <w:right w:val="none" w:sz="0" w:space="0" w:color="auto"/>
      </w:divBdr>
    </w:div>
    <w:div w:id="1679044619">
      <w:bodyDiv w:val="1"/>
      <w:marLeft w:val="0"/>
      <w:marRight w:val="0"/>
      <w:marTop w:val="0"/>
      <w:marBottom w:val="0"/>
      <w:divBdr>
        <w:top w:val="none" w:sz="0" w:space="0" w:color="auto"/>
        <w:left w:val="none" w:sz="0" w:space="0" w:color="auto"/>
        <w:bottom w:val="none" w:sz="0" w:space="0" w:color="auto"/>
        <w:right w:val="none" w:sz="0" w:space="0" w:color="auto"/>
      </w:divBdr>
      <w:divsChild>
        <w:div w:id="834223291">
          <w:marLeft w:val="0"/>
          <w:marRight w:val="0"/>
          <w:marTop w:val="0"/>
          <w:marBottom w:val="0"/>
          <w:divBdr>
            <w:top w:val="none" w:sz="0" w:space="0" w:color="auto"/>
            <w:left w:val="none" w:sz="0" w:space="0" w:color="auto"/>
            <w:bottom w:val="none" w:sz="0" w:space="0" w:color="auto"/>
            <w:right w:val="none" w:sz="0" w:space="0" w:color="auto"/>
          </w:divBdr>
        </w:div>
      </w:divsChild>
    </w:div>
    <w:div w:id="1798062927">
      <w:bodyDiv w:val="1"/>
      <w:marLeft w:val="0"/>
      <w:marRight w:val="0"/>
      <w:marTop w:val="0"/>
      <w:marBottom w:val="0"/>
      <w:divBdr>
        <w:top w:val="none" w:sz="0" w:space="0" w:color="auto"/>
        <w:left w:val="none" w:sz="0" w:space="0" w:color="auto"/>
        <w:bottom w:val="none" w:sz="0" w:space="0" w:color="auto"/>
        <w:right w:val="none" w:sz="0" w:space="0" w:color="auto"/>
      </w:divBdr>
    </w:div>
    <w:div w:id="1804880235">
      <w:bodyDiv w:val="1"/>
      <w:marLeft w:val="0"/>
      <w:marRight w:val="0"/>
      <w:marTop w:val="0"/>
      <w:marBottom w:val="0"/>
      <w:divBdr>
        <w:top w:val="none" w:sz="0" w:space="0" w:color="auto"/>
        <w:left w:val="none" w:sz="0" w:space="0" w:color="auto"/>
        <w:bottom w:val="none" w:sz="0" w:space="0" w:color="auto"/>
        <w:right w:val="none" w:sz="0" w:space="0" w:color="auto"/>
      </w:divBdr>
      <w:divsChild>
        <w:div w:id="190730055">
          <w:marLeft w:val="0"/>
          <w:marRight w:val="0"/>
          <w:marTop w:val="0"/>
          <w:marBottom w:val="0"/>
          <w:divBdr>
            <w:top w:val="none" w:sz="0" w:space="0" w:color="auto"/>
            <w:left w:val="none" w:sz="0" w:space="0" w:color="auto"/>
            <w:bottom w:val="none" w:sz="0" w:space="0" w:color="auto"/>
            <w:right w:val="none" w:sz="0" w:space="0" w:color="auto"/>
          </w:divBdr>
        </w:div>
      </w:divsChild>
    </w:div>
    <w:div w:id="1899314605">
      <w:bodyDiv w:val="1"/>
      <w:marLeft w:val="0"/>
      <w:marRight w:val="0"/>
      <w:marTop w:val="0"/>
      <w:marBottom w:val="0"/>
      <w:divBdr>
        <w:top w:val="none" w:sz="0" w:space="0" w:color="auto"/>
        <w:left w:val="none" w:sz="0" w:space="0" w:color="auto"/>
        <w:bottom w:val="none" w:sz="0" w:space="0" w:color="auto"/>
        <w:right w:val="none" w:sz="0" w:space="0" w:color="auto"/>
      </w:divBdr>
    </w:div>
    <w:div w:id="1925802129">
      <w:bodyDiv w:val="1"/>
      <w:marLeft w:val="0"/>
      <w:marRight w:val="0"/>
      <w:marTop w:val="0"/>
      <w:marBottom w:val="0"/>
      <w:divBdr>
        <w:top w:val="none" w:sz="0" w:space="0" w:color="auto"/>
        <w:left w:val="none" w:sz="0" w:space="0" w:color="auto"/>
        <w:bottom w:val="none" w:sz="0" w:space="0" w:color="auto"/>
        <w:right w:val="none" w:sz="0" w:space="0" w:color="auto"/>
      </w:divBdr>
    </w:div>
    <w:div w:id="1991446577">
      <w:bodyDiv w:val="1"/>
      <w:marLeft w:val="0"/>
      <w:marRight w:val="0"/>
      <w:marTop w:val="0"/>
      <w:marBottom w:val="0"/>
      <w:divBdr>
        <w:top w:val="none" w:sz="0" w:space="0" w:color="auto"/>
        <w:left w:val="none" w:sz="0" w:space="0" w:color="auto"/>
        <w:bottom w:val="none" w:sz="0" w:space="0" w:color="auto"/>
        <w:right w:val="none" w:sz="0" w:space="0" w:color="auto"/>
      </w:divBdr>
    </w:div>
    <w:div w:id="2094080927">
      <w:bodyDiv w:val="1"/>
      <w:marLeft w:val="0"/>
      <w:marRight w:val="0"/>
      <w:marTop w:val="0"/>
      <w:marBottom w:val="0"/>
      <w:divBdr>
        <w:top w:val="none" w:sz="0" w:space="0" w:color="auto"/>
        <w:left w:val="none" w:sz="0" w:space="0" w:color="auto"/>
        <w:bottom w:val="none" w:sz="0" w:space="0" w:color="auto"/>
        <w:right w:val="none" w:sz="0" w:space="0" w:color="auto"/>
      </w:divBdr>
    </w:div>
    <w:div w:id="2110350579">
      <w:bodyDiv w:val="1"/>
      <w:marLeft w:val="0"/>
      <w:marRight w:val="0"/>
      <w:marTop w:val="0"/>
      <w:marBottom w:val="0"/>
      <w:divBdr>
        <w:top w:val="none" w:sz="0" w:space="0" w:color="auto"/>
        <w:left w:val="none" w:sz="0" w:space="0" w:color="auto"/>
        <w:bottom w:val="none" w:sz="0" w:space="0" w:color="auto"/>
        <w:right w:val="none" w:sz="0" w:space="0" w:color="auto"/>
      </w:divBdr>
    </w:div>
    <w:div w:id="2132701998">
      <w:bodyDiv w:val="1"/>
      <w:marLeft w:val="0"/>
      <w:marRight w:val="0"/>
      <w:marTop w:val="0"/>
      <w:marBottom w:val="0"/>
      <w:divBdr>
        <w:top w:val="none" w:sz="0" w:space="0" w:color="auto"/>
        <w:left w:val="none" w:sz="0" w:space="0" w:color="auto"/>
        <w:bottom w:val="none" w:sz="0" w:space="0" w:color="auto"/>
        <w:right w:val="none" w:sz="0" w:space="0" w:color="auto"/>
      </w:divBdr>
    </w:div>
    <w:div w:id="2135364673">
      <w:bodyDiv w:val="1"/>
      <w:marLeft w:val="0"/>
      <w:marRight w:val="0"/>
      <w:marTop w:val="0"/>
      <w:marBottom w:val="0"/>
      <w:divBdr>
        <w:top w:val="none" w:sz="0" w:space="0" w:color="auto"/>
        <w:left w:val="none" w:sz="0" w:space="0" w:color="auto"/>
        <w:bottom w:val="none" w:sz="0" w:space="0" w:color="auto"/>
        <w:right w:val="none" w:sz="0" w:space="0" w:color="auto"/>
      </w:divBdr>
      <w:divsChild>
        <w:div w:id="185143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gustaveroussy.fr/fr/content/epid%C3%A9miologie-et-pr%C3%A9vention-1" TargetMode="External"/><Relationship Id="rId18" Type="http://schemas.openxmlformats.org/officeDocument/2006/relationships/hyperlink" Target="https://www.insee.fr/fr/statistiques/2015662?sommaire=201569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insee.fr/fr/statistiques/fichier/2832658/dep-pre-eng.xls" TargetMode="External"/><Relationship Id="rId2" Type="http://schemas.openxmlformats.org/officeDocument/2006/relationships/numbering" Target="numbering.xml"/><Relationship Id="rId16" Type="http://schemas.openxmlformats.org/officeDocument/2006/relationships/hyperlink" Target="https://www.insee.fr/fr/statistiques/2832658?sommaire=28328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ee.fr/fr/statistiques/fichier/2832658/t_2201.xls"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s://www.insee.fr/fr/statistiques/fichier/2832658/t_2202.xls" TargetMode="External"/><Relationship Id="rId19" Type="http://schemas.openxmlformats.org/officeDocument/2006/relationships/hyperlink" Target="https://www.insee.fr/fr/statistiques/fichier/2015662/irsocbdf11_TM205.xls" TargetMode="External"/><Relationship Id="rId4" Type="http://schemas.openxmlformats.org/officeDocument/2006/relationships/settings" Target="settings.xml"/><Relationship Id="rId9" Type="http://schemas.openxmlformats.org/officeDocument/2006/relationships/hyperlink" Target="https://www.insee.fr/fr/statistiques/fichier/2832707/t_2101.xls" TargetMode="External"/><Relationship Id="rId14" Type="http://schemas.openxmlformats.org/officeDocument/2006/relationships/hyperlink" Target="https://www.bdm.insee.fr/bdm2/choixCriteres?codeGroupe=1744"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Bruno\Site_Aca\cours_inverse\seconde\theme_1_1\t_1_1_d_V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Bruno\Site_Aca\cours_inverse\seconde\theme_1_1\t_1_1_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Bruno\Site_Aca\cours_inverse\seconde\theme_1_1\t_1_1_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6.367981800707867E-2"/>
          <c:y val="6.7633653608173791E-2"/>
          <c:w val="0.92894322185436329"/>
          <c:h val="0.85793822636580797"/>
        </c:manualLayout>
      </c:layout>
      <c:lineChart>
        <c:grouping val="standard"/>
        <c:ser>
          <c:idx val="0"/>
          <c:order val="0"/>
          <c:tx>
            <c:strRef>
              <c:f>t_2101!$B$43</c:f>
              <c:strCache>
                <c:ptCount val="1"/>
                <c:pt idx="0">
                  <c:v>RDB des ménages en € constants 2010</c:v>
                </c:pt>
              </c:strCache>
            </c:strRef>
          </c:tx>
          <c:marker>
            <c:symbol val="none"/>
          </c:marker>
          <c:dPt>
            <c:idx val="0"/>
            <c:marker>
              <c:symbol val="diamond"/>
              <c:size val="7"/>
            </c:marker>
          </c:dPt>
          <c:dPt>
            <c:idx val="57"/>
            <c:marker>
              <c:symbol val="diamond"/>
              <c:size val="7"/>
            </c:marker>
          </c:dPt>
          <c:dLbls>
            <c:dLbl>
              <c:idx val="0"/>
              <c:layout>
                <c:manualLayout>
                  <c:x val="-2.637098499865468E-2"/>
                  <c:y val="-3.8195211675598556E-2"/>
                </c:manualLayout>
              </c:layout>
              <c:showVal val="1"/>
            </c:dLbl>
            <c:dLbl>
              <c:idx val="57"/>
              <c:layout>
                <c:manualLayout>
                  <c:x val="-5.6178454539930027E-2"/>
                  <c:y val="-3.4099813050071821E-2"/>
                </c:manualLayout>
              </c:layout>
              <c:showVal val="1"/>
            </c:dLbl>
            <c:delete val="1"/>
            <c:spPr>
              <a:solidFill>
                <a:sysClr val="window" lastClr="FFFFFF"/>
              </a:solidFill>
              <a:ln w="3175">
                <a:solidFill>
                  <a:sysClr val="windowText" lastClr="000000"/>
                </a:solidFill>
              </a:ln>
            </c:spPr>
            <c:txPr>
              <a:bodyPr/>
              <a:lstStyle/>
              <a:p>
                <a:pPr>
                  <a:defRPr sz="800" b="1">
                    <a:solidFill>
                      <a:srgbClr val="0070C0"/>
                    </a:solidFill>
                  </a:defRPr>
                </a:pPr>
                <a:endParaRPr lang="fr-FR"/>
              </a:p>
            </c:txPr>
          </c:dLbls>
          <c:cat>
            <c:numRef>
              <c:f>t_2101!$C$3:$BH$3</c:f>
              <c:numCache>
                <c:formatCode>General</c:formatCode>
                <c:ptCount val="58"/>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pt idx="57">
                  <c:v>2016</c:v>
                </c:pt>
              </c:numCache>
            </c:numRef>
          </c:cat>
          <c:val>
            <c:numRef>
              <c:f>t_2101!$C$43:$BH$43</c:f>
              <c:numCache>
                <c:formatCode>#,##0.0</c:formatCode>
                <c:ptCount val="58"/>
                <c:pt idx="0">
                  <c:v>271.7728661483024</c:v>
                </c:pt>
                <c:pt idx="1">
                  <c:v>292.87755154639962</c:v>
                </c:pt>
                <c:pt idx="2">
                  <c:v>306.88224505841004</c:v>
                </c:pt>
                <c:pt idx="3">
                  <c:v>338.27316490810193</c:v>
                </c:pt>
                <c:pt idx="4">
                  <c:v>359.4643212237558</c:v>
                </c:pt>
                <c:pt idx="5">
                  <c:v>377.91241786269927</c:v>
                </c:pt>
                <c:pt idx="6">
                  <c:v>395.57236464406202</c:v>
                </c:pt>
                <c:pt idx="7">
                  <c:v>414.82253062260429</c:v>
                </c:pt>
                <c:pt idx="8">
                  <c:v>438.21547100695318</c:v>
                </c:pt>
                <c:pt idx="9">
                  <c:v>458.04829213330254</c:v>
                </c:pt>
                <c:pt idx="10">
                  <c:v>479.77077978450194</c:v>
                </c:pt>
                <c:pt idx="11">
                  <c:v>514.51865600555448</c:v>
                </c:pt>
                <c:pt idx="12">
                  <c:v>542.88389222927196</c:v>
                </c:pt>
                <c:pt idx="13">
                  <c:v>574.65088784790919</c:v>
                </c:pt>
                <c:pt idx="14">
                  <c:v>607.18878189378552</c:v>
                </c:pt>
                <c:pt idx="15">
                  <c:v>628.69582101539652</c:v>
                </c:pt>
                <c:pt idx="16">
                  <c:v>647.76059133479532</c:v>
                </c:pt>
                <c:pt idx="17">
                  <c:v>663.37603580631435</c:v>
                </c:pt>
                <c:pt idx="18">
                  <c:v>681.85149137053543</c:v>
                </c:pt>
                <c:pt idx="19">
                  <c:v>722.81437256248739</c:v>
                </c:pt>
                <c:pt idx="20">
                  <c:v>729.01394377943757</c:v>
                </c:pt>
                <c:pt idx="21">
                  <c:v>733.21025529412918</c:v>
                </c:pt>
                <c:pt idx="22">
                  <c:v>745.87760024285808</c:v>
                </c:pt>
                <c:pt idx="23">
                  <c:v>762.25573959352357</c:v>
                </c:pt>
                <c:pt idx="24">
                  <c:v>761.55568349597525</c:v>
                </c:pt>
                <c:pt idx="25">
                  <c:v>752.7132381879029</c:v>
                </c:pt>
                <c:pt idx="26">
                  <c:v>758.30840563612264</c:v>
                </c:pt>
                <c:pt idx="27">
                  <c:v>777.7922904453884</c:v>
                </c:pt>
                <c:pt idx="28">
                  <c:v>788.19372784181746</c:v>
                </c:pt>
                <c:pt idx="29">
                  <c:v>815.35961413155269</c:v>
                </c:pt>
                <c:pt idx="30">
                  <c:v>844.77201633619438</c:v>
                </c:pt>
                <c:pt idx="31">
                  <c:v>876.1239979823481</c:v>
                </c:pt>
                <c:pt idx="32">
                  <c:v>889.3722382563335</c:v>
                </c:pt>
                <c:pt idx="33">
                  <c:v>907.54464886060202</c:v>
                </c:pt>
                <c:pt idx="34">
                  <c:v>913.37523256810232</c:v>
                </c:pt>
                <c:pt idx="35">
                  <c:v>920.42825068415618</c:v>
                </c:pt>
                <c:pt idx="36">
                  <c:v>942.75005516105614</c:v>
                </c:pt>
                <c:pt idx="37">
                  <c:v>950.98185118229617</c:v>
                </c:pt>
                <c:pt idx="38">
                  <c:v>968.79998759685486</c:v>
                </c:pt>
                <c:pt idx="39">
                  <c:v>1000.6450638791009</c:v>
                </c:pt>
                <c:pt idx="40">
                  <c:v>1031.3342524110528</c:v>
                </c:pt>
                <c:pt idx="41">
                  <c:v>1066.3196880251301</c:v>
                </c:pt>
                <c:pt idx="42">
                  <c:v>1100.3993571114543</c:v>
                </c:pt>
                <c:pt idx="43">
                  <c:v>1132.9500471556951</c:v>
                </c:pt>
                <c:pt idx="44">
                  <c:v>1143.0107335156702</c:v>
                </c:pt>
                <c:pt idx="45">
                  <c:v>1169.5232387870428</c:v>
                </c:pt>
                <c:pt idx="46">
                  <c:v>1181.4578984001284</c:v>
                </c:pt>
                <c:pt idx="47">
                  <c:v>1209.5355836723149</c:v>
                </c:pt>
                <c:pt idx="48">
                  <c:v>1246.2348562509158</c:v>
                </c:pt>
                <c:pt idx="49">
                  <c:v>1250.0188903695901</c:v>
                </c:pt>
                <c:pt idx="50">
                  <c:v>1270.1661837209801</c:v>
                </c:pt>
                <c:pt idx="51">
                  <c:v>1285.3902599999999</c:v>
                </c:pt>
                <c:pt idx="52">
                  <c:v>1287.9877129763722</c:v>
                </c:pt>
                <c:pt idx="53">
                  <c:v>1276.8158029514716</c:v>
                </c:pt>
                <c:pt idx="54">
                  <c:v>1272.0712101101828</c:v>
                </c:pt>
                <c:pt idx="55">
                  <c:v>1286.5452722122236</c:v>
                </c:pt>
                <c:pt idx="56">
                  <c:v>1297.3232716683049</c:v>
                </c:pt>
                <c:pt idx="57">
                  <c:v>1320.6648157344978</c:v>
                </c:pt>
              </c:numCache>
            </c:numRef>
          </c:val>
        </c:ser>
        <c:ser>
          <c:idx val="1"/>
          <c:order val="1"/>
          <c:tx>
            <c:strRef>
              <c:f>t_2101!$B$46</c:f>
              <c:strCache>
                <c:ptCount val="1"/>
                <c:pt idx="0">
                  <c:v>Dépense de consommation finale des ménages en € constants 2010</c:v>
                </c:pt>
              </c:strCache>
            </c:strRef>
          </c:tx>
          <c:marker>
            <c:symbol val="none"/>
          </c:marker>
          <c:dPt>
            <c:idx val="0"/>
            <c:marker>
              <c:symbol val="diamond"/>
              <c:size val="7"/>
            </c:marker>
          </c:dPt>
          <c:dPt>
            <c:idx val="57"/>
            <c:marker>
              <c:symbol val="diamond"/>
              <c:size val="7"/>
            </c:marker>
          </c:dPt>
          <c:dLbls>
            <c:dLbl>
              <c:idx val="0"/>
              <c:layout>
                <c:manualLayout>
                  <c:x val="-5.5517633077843132E-3"/>
                  <c:y val="1.572744010171712E-2"/>
                </c:manualLayout>
              </c:layout>
              <c:showVal val="1"/>
            </c:dLbl>
            <c:dLbl>
              <c:idx val="57"/>
              <c:layout>
                <c:manualLayout>
                  <c:x val="-5.4544097092604334E-2"/>
                  <c:y val="-3.3175462006895674E-2"/>
                </c:manualLayout>
              </c:layout>
              <c:showVal val="1"/>
            </c:dLbl>
            <c:delete val="1"/>
            <c:spPr>
              <a:solidFill>
                <a:schemeClr val="bg1"/>
              </a:solidFill>
              <a:ln>
                <a:solidFill>
                  <a:sysClr val="windowText" lastClr="000000"/>
                </a:solidFill>
              </a:ln>
            </c:spPr>
            <c:txPr>
              <a:bodyPr/>
              <a:lstStyle/>
              <a:p>
                <a:pPr>
                  <a:defRPr sz="800" b="1">
                    <a:solidFill>
                      <a:srgbClr val="C00000"/>
                    </a:solidFill>
                  </a:defRPr>
                </a:pPr>
                <a:endParaRPr lang="fr-FR"/>
              </a:p>
            </c:txPr>
          </c:dLbls>
          <c:cat>
            <c:numRef>
              <c:f>t_2101!$C$3:$BH$3</c:f>
              <c:numCache>
                <c:formatCode>General</c:formatCode>
                <c:ptCount val="58"/>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pt idx="57">
                  <c:v>2016</c:v>
                </c:pt>
              </c:numCache>
            </c:numRef>
          </c:cat>
          <c:val>
            <c:numRef>
              <c:f>t_2101!$C$46:$BH$46</c:f>
              <c:numCache>
                <c:formatCode>#,##0.0</c:formatCode>
                <c:ptCount val="58"/>
                <c:pt idx="0">
                  <c:v>228.59475700000002</c:v>
                </c:pt>
                <c:pt idx="1">
                  <c:v>240.09696199999999</c:v>
                </c:pt>
                <c:pt idx="2">
                  <c:v>254.06820200000001</c:v>
                </c:pt>
                <c:pt idx="3">
                  <c:v>272.80691399999955</c:v>
                </c:pt>
                <c:pt idx="4">
                  <c:v>292.49996600000003</c:v>
                </c:pt>
                <c:pt idx="5">
                  <c:v>308.61124699999999</c:v>
                </c:pt>
                <c:pt idx="6">
                  <c:v>320.5609</c:v>
                </c:pt>
                <c:pt idx="7">
                  <c:v>335.95559299999962</c:v>
                </c:pt>
                <c:pt idx="8">
                  <c:v>352.73309499999948</c:v>
                </c:pt>
                <c:pt idx="9">
                  <c:v>367.94277500000004</c:v>
                </c:pt>
                <c:pt idx="10">
                  <c:v>391.74576400000001</c:v>
                </c:pt>
                <c:pt idx="11">
                  <c:v>409.52176100000003</c:v>
                </c:pt>
                <c:pt idx="12">
                  <c:v>432.51206300000001</c:v>
                </c:pt>
                <c:pt idx="13">
                  <c:v>454.8361139999991</c:v>
                </c:pt>
                <c:pt idx="14">
                  <c:v>480.19805299999962</c:v>
                </c:pt>
                <c:pt idx="15">
                  <c:v>493.79378999999955</c:v>
                </c:pt>
                <c:pt idx="16">
                  <c:v>503.58605799999935</c:v>
                </c:pt>
                <c:pt idx="17">
                  <c:v>531.13778400000001</c:v>
                </c:pt>
                <c:pt idx="18">
                  <c:v>544.89524799999947</c:v>
                </c:pt>
                <c:pt idx="19">
                  <c:v>566.32241199999908</c:v>
                </c:pt>
                <c:pt idx="20">
                  <c:v>585.69622199999947</c:v>
                </c:pt>
                <c:pt idx="21">
                  <c:v>592.69144600000004</c:v>
                </c:pt>
                <c:pt idx="22">
                  <c:v>604.86526299999844</c:v>
                </c:pt>
                <c:pt idx="23">
                  <c:v>624.80807200000004</c:v>
                </c:pt>
                <c:pt idx="24">
                  <c:v>630.25048100000004</c:v>
                </c:pt>
                <c:pt idx="25">
                  <c:v>634.72665699999948</c:v>
                </c:pt>
                <c:pt idx="26">
                  <c:v>646.99024100000008</c:v>
                </c:pt>
                <c:pt idx="27">
                  <c:v>671.35151899999869</c:v>
                </c:pt>
                <c:pt idx="28">
                  <c:v>693.41760899999906</c:v>
                </c:pt>
                <c:pt idx="29">
                  <c:v>716.35462399999869</c:v>
                </c:pt>
                <c:pt idx="30">
                  <c:v>739.29521</c:v>
                </c:pt>
                <c:pt idx="31">
                  <c:v>757.90170899999998</c:v>
                </c:pt>
                <c:pt idx="32">
                  <c:v>762.32886800000006</c:v>
                </c:pt>
                <c:pt idx="33">
                  <c:v>769.75518799999998</c:v>
                </c:pt>
                <c:pt idx="34">
                  <c:v>769.44401899999946</c:v>
                </c:pt>
                <c:pt idx="35">
                  <c:v>782.12067200000001</c:v>
                </c:pt>
                <c:pt idx="36">
                  <c:v>794.80169899999908</c:v>
                </c:pt>
                <c:pt idx="37">
                  <c:v>809.60892899999999</c:v>
                </c:pt>
                <c:pt idx="38">
                  <c:v>814.81852599999911</c:v>
                </c:pt>
                <c:pt idx="39">
                  <c:v>847.41713099999947</c:v>
                </c:pt>
                <c:pt idx="40">
                  <c:v>877.10496799999999</c:v>
                </c:pt>
                <c:pt idx="41">
                  <c:v>909.00525999999923</c:v>
                </c:pt>
                <c:pt idx="42">
                  <c:v>931.64613600000007</c:v>
                </c:pt>
                <c:pt idx="43">
                  <c:v>948.75944499999991</c:v>
                </c:pt>
                <c:pt idx="44">
                  <c:v>964.72183299999995</c:v>
                </c:pt>
                <c:pt idx="45">
                  <c:v>985.18272400000001</c:v>
                </c:pt>
                <c:pt idx="46">
                  <c:v>1010.6555960000001</c:v>
                </c:pt>
                <c:pt idx="47">
                  <c:v>1032.9758990000016</c:v>
                </c:pt>
                <c:pt idx="48">
                  <c:v>1058.1745479999984</c:v>
                </c:pt>
                <c:pt idx="49">
                  <c:v>1063.1306319999999</c:v>
                </c:pt>
                <c:pt idx="50">
                  <c:v>1063.9167130000019</c:v>
                </c:pt>
                <c:pt idx="51">
                  <c:v>1082.3939999999998</c:v>
                </c:pt>
                <c:pt idx="52">
                  <c:v>1087.1299999999999</c:v>
                </c:pt>
                <c:pt idx="53">
                  <c:v>1084.4015700000011</c:v>
                </c:pt>
                <c:pt idx="54">
                  <c:v>1089.5308620000001</c:v>
                </c:pt>
                <c:pt idx="55">
                  <c:v>1097.195379</c:v>
                </c:pt>
                <c:pt idx="56">
                  <c:v>1112.550401</c:v>
                </c:pt>
                <c:pt idx="57">
                  <c:v>1137.5886800000001</c:v>
                </c:pt>
              </c:numCache>
            </c:numRef>
          </c:val>
        </c:ser>
        <c:marker val="1"/>
        <c:axId val="128031360"/>
        <c:axId val="128074496"/>
      </c:lineChart>
      <c:lineChart>
        <c:grouping val="standard"/>
        <c:ser>
          <c:idx val="2"/>
          <c:order val="2"/>
          <c:tx>
            <c:strRef>
              <c:f>t_2101!$B$17</c:f>
              <c:strCache>
                <c:ptCount val="1"/>
                <c:pt idx="0">
                  <c:v>Évolution du pouvoir d'achat du revenu dispo. brut des ménages (en %)</c:v>
                </c:pt>
              </c:strCache>
            </c:strRef>
          </c:tx>
          <c:marker>
            <c:symbol val="circle"/>
            <c:size val="4"/>
          </c:marker>
          <c:cat>
            <c:numRef>
              <c:f>t_2101!$C$3:$BH$3</c:f>
              <c:numCache>
                <c:formatCode>General</c:formatCode>
                <c:ptCount val="58"/>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pt idx="57">
                  <c:v>2016</c:v>
                </c:pt>
              </c:numCache>
            </c:numRef>
          </c:cat>
          <c:val>
            <c:numRef>
              <c:f>t_2101!$C$17:$BH$17</c:f>
              <c:numCache>
                <c:formatCode>#,##0.0</c:formatCode>
                <c:ptCount val="58"/>
                <c:pt idx="1">
                  <c:v>7.7655601521975086</c:v>
                </c:pt>
                <c:pt idx="2">
                  <c:v>4.7817572354265314</c:v>
                </c:pt>
                <c:pt idx="3">
                  <c:v>10.22897882010666</c:v>
                </c:pt>
                <c:pt idx="4">
                  <c:v>6.2645100214820655</c:v>
                </c:pt>
                <c:pt idx="5">
                  <c:v>5.1321078476273145</c:v>
                </c:pt>
                <c:pt idx="6">
                  <c:v>4.6730263274328507</c:v>
                </c:pt>
                <c:pt idx="7">
                  <c:v>4.8664081971104585</c:v>
                </c:pt>
                <c:pt idx="8">
                  <c:v>5.6392646631894694</c:v>
                </c:pt>
                <c:pt idx="9">
                  <c:v>4.5258149103626479</c:v>
                </c:pt>
                <c:pt idx="10">
                  <c:v>4.7424011887547337</c:v>
                </c:pt>
                <c:pt idx="11">
                  <c:v>7.2425995256859608</c:v>
                </c:pt>
                <c:pt idx="12">
                  <c:v>5.5129655441318555</c:v>
                </c:pt>
                <c:pt idx="13">
                  <c:v>5.8515266474736762</c:v>
                </c:pt>
                <c:pt idx="14">
                  <c:v>5.6622019967169797</c:v>
                </c:pt>
                <c:pt idx="15">
                  <c:v>3.5420679305918377</c:v>
                </c:pt>
                <c:pt idx="16">
                  <c:v>3.0324315324075175</c:v>
                </c:pt>
                <c:pt idx="17">
                  <c:v>2.410681458614448</c:v>
                </c:pt>
                <c:pt idx="18">
                  <c:v>2.7850652672077012</c:v>
                </c:pt>
                <c:pt idx="19">
                  <c:v>6.0075957463427514</c:v>
                </c:pt>
                <c:pt idx="20">
                  <c:v>0.85769894073521868</c:v>
                </c:pt>
                <c:pt idx="21">
                  <c:v>0.57561471224234162</c:v>
                </c:pt>
                <c:pt idx="22">
                  <c:v>1.7276551790245946</c:v>
                </c:pt>
                <c:pt idx="23">
                  <c:v>2.1958213177782966</c:v>
                </c:pt>
                <c:pt idx="24">
                  <c:v>-9.1840055926724035E-2</c:v>
                </c:pt>
                <c:pt idx="25">
                  <c:v>-1.1611029238835644</c:v>
                </c:pt>
                <c:pt idx="26">
                  <c:v>0.74333320637329436</c:v>
                </c:pt>
                <c:pt idx="27">
                  <c:v>2.5693879514526299</c:v>
                </c:pt>
                <c:pt idx="28">
                  <c:v>1.3373027123310519</c:v>
                </c:pt>
                <c:pt idx="29">
                  <c:v>3.4466001606129182</c:v>
                </c:pt>
                <c:pt idx="30">
                  <c:v>3.6072920089336411</c:v>
                </c:pt>
                <c:pt idx="31">
                  <c:v>3.7112950050274236</c:v>
                </c:pt>
                <c:pt idx="32">
                  <c:v>1.5121421516240761</c:v>
                </c:pt>
                <c:pt idx="33">
                  <c:v>2.0432851198387674</c:v>
                </c:pt>
                <c:pt idx="34">
                  <c:v>0.6424569540263575</c:v>
                </c:pt>
                <c:pt idx="35">
                  <c:v>0.77219283647799974</c:v>
                </c:pt>
                <c:pt idx="36">
                  <c:v>2.4251542105871096</c:v>
                </c:pt>
                <c:pt idx="37">
                  <c:v>0.87316844758321188</c:v>
                </c:pt>
                <c:pt idx="38">
                  <c:v>1.8736568308223411</c:v>
                </c:pt>
                <c:pt idx="39">
                  <c:v>3.2870640679135517</c:v>
                </c:pt>
                <c:pt idx="40">
                  <c:v>3.0669404806717737</c:v>
                </c:pt>
                <c:pt idx="41">
                  <c:v>3.392249945377837</c:v>
                </c:pt>
                <c:pt idx="42">
                  <c:v>3.1960086143998101</c:v>
                </c:pt>
                <c:pt idx="43">
                  <c:v>2.9580797038708937</c:v>
                </c:pt>
                <c:pt idx="44">
                  <c:v>0.8880079386759836</c:v>
                </c:pt>
                <c:pt idx="45">
                  <c:v>2.3195324850385037</c:v>
                </c:pt>
                <c:pt idx="46">
                  <c:v>1.020472207586181</c:v>
                </c:pt>
                <c:pt idx="47">
                  <c:v>2.3765286355280404</c:v>
                </c:pt>
                <c:pt idx="48">
                  <c:v>3.0341622912142725</c:v>
                </c:pt>
                <c:pt idx="49">
                  <c:v>0.30363732001981708</c:v>
                </c:pt>
                <c:pt idx="50">
                  <c:v>1.6117591107308442</c:v>
                </c:pt>
                <c:pt idx="51">
                  <c:v>1.1985893243057744</c:v>
                </c:pt>
                <c:pt idx="52">
                  <c:v>0.20207504733795645</c:v>
                </c:pt>
                <c:pt idx="53">
                  <c:v>-0.86739259329454022</c:v>
                </c:pt>
                <c:pt idx="54">
                  <c:v>-0.37159571727737317</c:v>
                </c:pt>
                <c:pt idx="55">
                  <c:v>1.1378342648590092</c:v>
                </c:pt>
                <c:pt idx="56">
                  <c:v>0.83774739131791853</c:v>
                </c:pt>
                <c:pt idx="57">
                  <c:v>1.799207998186688</c:v>
                </c:pt>
              </c:numCache>
            </c:numRef>
          </c:val>
        </c:ser>
        <c:marker val="1"/>
        <c:axId val="128097664"/>
        <c:axId val="128095744"/>
      </c:lineChart>
      <c:catAx>
        <c:axId val="128031360"/>
        <c:scaling>
          <c:orientation val="minMax"/>
        </c:scaling>
        <c:axPos val="b"/>
        <c:numFmt formatCode="General" sourceLinked="1"/>
        <c:tickLblPos val="nextTo"/>
        <c:txPr>
          <a:bodyPr rot="-5400000" vert="horz"/>
          <a:lstStyle/>
          <a:p>
            <a:pPr>
              <a:defRPr sz="800" b="1"/>
            </a:pPr>
            <a:endParaRPr lang="fr-FR"/>
          </a:p>
        </c:txPr>
        <c:crossAx val="128074496"/>
        <c:crosses val="autoZero"/>
        <c:auto val="1"/>
        <c:lblAlgn val="ctr"/>
        <c:lblOffset val="100"/>
      </c:catAx>
      <c:valAx>
        <c:axId val="128074496"/>
        <c:scaling>
          <c:orientation val="minMax"/>
        </c:scaling>
        <c:axPos val="l"/>
        <c:majorGridlines/>
        <c:minorGridlines/>
        <c:title>
          <c:tx>
            <c:rich>
              <a:bodyPr rot="0" vert="horz"/>
              <a:lstStyle/>
              <a:p>
                <a:pPr>
                  <a:defRPr sz="800"/>
                </a:pPr>
                <a:r>
                  <a:rPr lang="fr-FR" sz="800"/>
                  <a:t>milliards € 2010</a:t>
                </a:r>
              </a:p>
            </c:rich>
          </c:tx>
          <c:layout>
            <c:manualLayout>
              <c:xMode val="edge"/>
              <c:yMode val="edge"/>
              <c:x val="6.9397041347303932E-3"/>
              <c:y val="9.9450848742185308E-3"/>
            </c:manualLayout>
          </c:layout>
        </c:title>
        <c:numFmt formatCode="#,##0.0" sourceLinked="1"/>
        <c:tickLblPos val="nextTo"/>
        <c:txPr>
          <a:bodyPr/>
          <a:lstStyle/>
          <a:p>
            <a:pPr>
              <a:defRPr sz="800" b="1"/>
            </a:pPr>
            <a:endParaRPr lang="fr-FR"/>
          </a:p>
        </c:txPr>
        <c:crossAx val="128031360"/>
        <c:crosses val="autoZero"/>
        <c:crossBetween val="between"/>
        <c:majorUnit val="100"/>
        <c:minorUnit val="50"/>
      </c:valAx>
      <c:valAx>
        <c:axId val="128095744"/>
        <c:scaling>
          <c:orientation val="minMax"/>
        </c:scaling>
        <c:axPos val="r"/>
        <c:title>
          <c:tx>
            <c:rich>
              <a:bodyPr rot="0" vert="horz"/>
              <a:lstStyle/>
              <a:p>
                <a:pPr>
                  <a:defRPr/>
                </a:pPr>
                <a:r>
                  <a:rPr lang="fr-FR"/>
                  <a:t>%</a:t>
                </a:r>
              </a:p>
            </c:rich>
          </c:tx>
          <c:layout>
            <c:manualLayout>
              <c:xMode val="edge"/>
              <c:yMode val="edge"/>
              <c:x val="0.96705727911577566"/>
              <c:y val="1.4438639188994797E-2"/>
            </c:manualLayout>
          </c:layout>
        </c:title>
        <c:numFmt formatCode="General" sourceLinked="1"/>
        <c:tickLblPos val="nextTo"/>
        <c:txPr>
          <a:bodyPr/>
          <a:lstStyle/>
          <a:p>
            <a:pPr>
              <a:defRPr sz="800" b="1"/>
            </a:pPr>
            <a:endParaRPr lang="fr-FR"/>
          </a:p>
        </c:txPr>
        <c:crossAx val="128097664"/>
        <c:crosses val="max"/>
        <c:crossBetween val="between"/>
      </c:valAx>
      <c:catAx>
        <c:axId val="128097664"/>
        <c:scaling>
          <c:orientation val="minMax"/>
        </c:scaling>
        <c:delete val="1"/>
        <c:axPos val="b"/>
        <c:numFmt formatCode="General" sourceLinked="1"/>
        <c:tickLblPos val="none"/>
        <c:crossAx val="128095744"/>
        <c:crosses val="autoZero"/>
        <c:auto val="1"/>
        <c:lblAlgn val="ctr"/>
        <c:lblOffset val="100"/>
      </c:catAx>
      <c:spPr>
        <a:solidFill>
          <a:sysClr val="window" lastClr="FFFFFF"/>
        </a:solidFill>
      </c:spPr>
    </c:plotArea>
    <c:legend>
      <c:legendPos val="r"/>
      <c:layout>
        <c:manualLayout>
          <c:xMode val="edge"/>
          <c:yMode val="edge"/>
          <c:x val="0.16958598477285181"/>
          <c:y val="2.6525699151137148E-2"/>
          <c:w val="0.59689640503867569"/>
          <c:h val="0.12987792608114487"/>
        </c:manualLayout>
      </c:layout>
      <c:spPr>
        <a:solidFill>
          <a:schemeClr val="bg1"/>
        </a:solidFill>
        <a:ln w="3175">
          <a:solidFill>
            <a:sysClr val="windowText" lastClr="000000"/>
          </a:solidFill>
        </a:ln>
      </c:spPr>
      <c:txPr>
        <a:bodyPr/>
        <a:lstStyle/>
        <a:p>
          <a:pPr>
            <a:defRPr sz="800"/>
          </a:pPr>
          <a:endParaRPr lang="fr-FR"/>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a:pPr>
            <a:r>
              <a:rPr lang="en-US" sz="1200"/>
              <a:t>Prix relatif du tabac et consommation de tabac en France</a:t>
            </a:r>
          </a:p>
        </c:rich>
      </c:tx>
    </c:title>
    <c:plotArea>
      <c:layout>
        <c:manualLayout>
          <c:layoutTarget val="inner"/>
          <c:xMode val="edge"/>
          <c:yMode val="edge"/>
          <c:x val="6.6135828645082786E-2"/>
          <c:y val="9.6297691248124012E-2"/>
          <c:w val="0.86382723423094365"/>
          <c:h val="0.80944306243703867"/>
        </c:manualLayout>
      </c:layout>
      <c:lineChart>
        <c:grouping val="standard"/>
        <c:ser>
          <c:idx val="0"/>
          <c:order val="0"/>
          <c:tx>
            <c:strRef>
              <c:f>Feuil8!$B$2</c:f>
              <c:strCache>
                <c:ptCount val="1"/>
                <c:pt idx="0">
                  <c:v>Prix relatif du tabac (base 100 en 1970)</c:v>
                </c:pt>
              </c:strCache>
            </c:strRef>
          </c:tx>
          <c:marker>
            <c:symbol val="none"/>
          </c:marker>
          <c:cat>
            <c:numRef>
              <c:f>Feuil8!$A$3:$A$67</c:f>
              <c:numCache>
                <c:formatCode>General</c:formatCode>
                <c:ptCount val="65"/>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Feuil8!$B$3:$B$67</c:f>
              <c:numCache>
                <c:formatCode>General</c:formatCode>
                <c:ptCount val="65"/>
                <c:pt idx="0">
                  <c:v>121</c:v>
                </c:pt>
                <c:pt idx="1">
                  <c:v>108.4</c:v>
                </c:pt>
                <c:pt idx="2">
                  <c:v>114.1</c:v>
                </c:pt>
                <c:pt idx="3">
                  <c:v>113.9</c:v>
                </c:pt>
                <c:pt idx="4">
                  <c:v>112.5</c:v>
                </c:pt>
                <c:pt idx="5">
                  <c:v>116.1</c:v>
                </c:pt>
                <c:pt idx="6">
                  <c:v>104.9</c:v>
                </c:pt>
                <c:pt idx="7">
                  <c:v>116.1</c:v>
                </c:pt>
                <c:pt idx="8">
                  <c:v>104.9</c:v>
                </c:pt>
                <c:pt idx="9">
                  <c:v>116</c:v>
                </c:pt>
                <c:pt idx="10">
                  <c:v>113.6</c:v>
                </c:pt>
                <c:pt idx="11">
                  <c:v>111.5</c:v>
                </c:pt>
                <c:pt idx="12">
                  <c:v>116.2</c:v>
                </c:pt>
                <c:pt idx="13">
                  <c:v>117.8</c:v>
                </c:pt>
                <c:pt idx="14">
                  <c:v>118.2</c:v>
                </c:pt>
                <c:pt idx="15">
                  <c:v>115.1</c:v>
                </c:pt>
                <c:pt idx="16">
                  <c:v>111.6</c:v>
                </c:pt>
                <c:pt idx="17">
                  <c:v>108.3</c:v>
                </c:pt>
                <c:pt idx="18">
                  <c:v>107.5</c:v>
                </c:pt>
                <c:pt idx="19">
                  <c:v>105.1</c:v>
                </c:pt>
                <c:pt idx="20">
                  <c:v>100</c:v>
                </c:pt>
                <c:pt idx="21">
                  <c:v>94.9</c:v>
                </c:pt>
                <c:pt idx="22">
                  <c:v>95.2</c:v>
                </c:pt>
                <c:pt idx="23">
                  <c:v>94.3</c:v>
                </c:pt>
                <c:pt idx="24">
                  <c:v>83.2</c:v>
                </c:pt>
                <c:pt idx="25">
                  <c:v>75.5</c:v>
                </c:pt>
                <c:pt idx="26">
                  <c:v>74.5</c:v>
                </c:pt>
                <c:pt idx="27">
                  <c:v>73.3</c:v>
                </c:pt>
                <c:pt idx="28">
                  <c:v>73.599999999999994</c:v>
                </c:pt>
                <c:pt idx="29">
                  <c:v>72.599999999999994</c:v>
                </c:pt>
                <c:pt idx="30">
                  <c:v>72.2</c:v>
                </c:pt>
                <c:pt idx="31">
                  <c:v>73.3</c:v>
                </c:pt>
                <c:pt idx="32">
                  <c:v>78.8</c:v>
                </c:pt>
                <c:pt idx="33">
                  <c:v>78.5</c:v>
                </c:pt>
                <c:pt idx="34">
                  <c:v>77.3</c:v>
                </c:pt>
                <c:pt idx="35">
                  <c:v>72.099999999999994</c:v>
                </c:pt>
                <c:pt idx="36">
                  <c:v>74.7</c:v>
                </c:pt>
                <c:pt idx="37">
                  <c:v>76</c:v>
                </c:pt>
                <c:pt idx="38">
                  <c:v>80.8</c:v>
                </c:pt>
                <c:pt idx="39">
                  <c:v>81.3</c:v>
                </c:pt>
                <c:pt idx="40">
                  <c:v>79.599999999999994</c:v>
                </c:pt>
                <c:pt idx="41">
                  <c:v>78</c:v>
                </c:pt>
                <c:pt idx="42">
                  <c:v>84.3</c:v>
                </c:pt>
                <c:pt idx="43">
                  <c:v>98.3</c:v>
                </c:pt>
                <c:pt idx="44">
                  <c:v>112.1</c:v>
                </c:pt>
                <c:pt idx="45">
                  <c:v>119.6</c:v>
                </c:pt>
                <c:pt idx="46">
                  <c:v>126.2</c:v>
                </c:pt>
                <c:pt idx="47">
                  <c:v>134.6</c:v>
                </c:pt>
                <c:pt idx="48">
                  <c:v>137.6</c:v>
                </c:pt>
                <c:pt idx="49">
                  <c:v>143</c:v>
                </c:pt>
                <c:pt idx="50">
                  <c:v>147.1</c:v>
                </c:pt>
                <c:pt idx="51">
                  <c:v>152.1</c:v>
                </c:pt>
                <c:pt idx="52">
                  <c:v>161.9</c:v>
                </c:pt>
                <c:pt idx="53">
                  <c:v>181.3</c:v>
                </c:pt>
                <c:pt idx="54">
                  <c:v>221.1</c:v>
                </c:pt>
                <c:pt idx="55">
                  <c:v>218.4</c:v>
                </c:pt>
                <c:pt idx="56">
                  <c:v>215.7</c:v>
                </c:pt>
                <c:pt idx="57">
                  <c:v>218.1</c:v>
                </c:pt>
                <c:pt idx="58">
                  <c:v>220.4</c:v>
                </c:pt>
                <c:pt idx="59">
                  <c:v>223.2</c:v>
                </c:pt>
                <c:pt idx="60">
                  <c:v>232</c:v>
                </c:pt>
                <c:pt idx="61">
                  <c:v>240.3</c:v>
                </c:pt>
                <c:pt idx="62">
                  <c:v>241.3</c:v>
                </c:pt>
                <c:pt idx="63">
                  <c:v>264.10000000000002</c:v>
                </c:pt>
                <c:pt idx="64">
                  <c:v>276.60000000000002</c:v>
                </c:pt>
              </c:numCache>
            </c:numRef>
          </c:val>
        </c:ser>
        <c:marker val="1"/>
        <c:axId val="128469632"/>
        <c:axId val="128492672"/>
      </c:lineChart>
      <c:lineChart>
        <c:grouping val="standard"/>
        <c:ser>
          <c:idx val="1"/>
          <c:order val="1"/>
          <c:tx>
            <c:strRef>
              <c:f>Feuil8!$C$2</c:f>
              <c:strCache>
                <c:ptCount val="1"/>
                <c:pt idx="0">
                  <c:v>Consommation de tabac (gramme/adulte/jour)</c:v>
                </c:pt>
              </c:strCache>
            </c:strRef>
          </c:tx>
          <c:marker>
            <c:symbol val="none"/>
          </c:marker>
          <c:cat>
            <c:numRef>
              <c:f>Feuil8!$A$3:$A$67</c:f>
              <c:numCache>
                <c:formatCode>General</c:formatCode>
                <c:ptCount val="65"/>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numCache>
            </c:numRef>
          </c:cat>
          <c:val>
            <c:numRef>
              <c:f>Feuil8!$C$3:$C$67</c:f>
              <c:numCache>
                <c:formatCode>0.00</c:formatCode>
                <c:ptCount val="65"/>
                <c:pt idx="0">
                  <c:v>5.1987280305118002</c:v>
                </c:pt>
                <c:pt idx="1">
                  <c:v>5.309560534469953</c:v>
                </c:pt>
                <c:pt idx="2">
                  <c:v>5.3488109905640107</c:v>
                </c:pt>
                <c:pt idx="3">
                  <c:v>5.3236928630925489</c:v>
                </c:pt>
                <c:pt idx="4">
                  <c:v>5.3061442741341001</c:v>
                </c:pt>
                <c:pt idx="5">
                  <c:v>5.5591462543534576</c:v>
                </c:pt>
                <c:pt idx="6">
                  <c:v>5.8443801607948043</c:v>
                </c:pt>
                <c:pt idx="7">
                  <c:v>6.0541821208597435</c:v>
                </c:pt>
                <c:pt idx="8">
                  <c:v>6.203986644375135</c:v>
                </c:pt>
                <c:pt idx="9">
                  <c:v>5.9005413473700479</c:v>
                </c:pt>
                <c:pt idx="10">
                  <c:v>6.098508366704591</c:v>
                </c:pt>
                <c:pt idx="11">
                  <c:v>6.1777304108883238</c:v>
                </c:pt>
                <c:pt idx="12">
                  <c:v>5.9867132552056379</c:v>
                </c:pt>
                <c:pt idx="13">
                  <c:v>5.992498268087032</c:v>
                </c:pt>
                <c:pt idx="14">
                  <c:v>5.8895964015158428</c:v>
                </c:pt>
                <c:pt idx="15">
                  <c:v>6.0620612923099095</c:v>
                </c:pt>
                <c:pt idx="16">
                  <c:v>6.1347132696474524</c:v>
                </c:pt>
                <c:pt idx="17">
                  <c:v>6.3174635150645289</c:v>
                </c:pt>
                <c:pt idx="18">
                  <c:v>6.460387994464706</c:v>
                </c:pt>
                <c:pt idx="19">
                  <c:v>6.4823505807652424</c:v>
                </c:pt>
                <c:pt idx="20">
                  <c:v>6.5976128493658166</c:v>
                </c:pt>
                <c:pt idx="21">
                  <c:v>6.6320657128689469</c:v>
                </c:pt>
                <c:pt idx="22">
                  <c:v>6.4482826965572491</c:v>
                </c:pt>
                <c:pt idx="23">
                  <c:v>6.5387976180243914</c:v>
                </c:pt>
                <c:pt idx="24">
                  <c:v>6.802563369106803</c:v>
                </c:pt>
                <c:pt idx="25">
                  <c:v>7.0085432096367715</c:v>
                </c:pt>
                <c:pt idx="26">
                  <c:v>6.8046868011139079</c:v>
                </c:pt>
                <c:pt idx="27">
                  <c:v>6.8877376062600293</c:v>
                </c:pt>
                <c:pt idx="28">
                  <c:v>6.6185190401848768</c:v>
                </c:pt>
                <c:pt idx="29">
                  <c:v>6.6754503639928968</c:v>
                </c:pt>
                <c:pt idx="30">
                  <c:v>6.5514505295264343</c:v>
                </c:pt>
                <c:pt idx="31">
                  <c:v>6.3737284246381183</c:v>
                </c:pt>
                <c:pt idx="32">
                  <c:v>6.2860182495842736</c:v>
                </c:pt>
                <c:pt idx="33">
                  <c:v>6.2460412134167127</c:v>
                </c:pt>
                <c:pt idx="34">
                  <c:v>6.213255553930833</c:v>
                </c:pt>
                <c:pt idx="35">
                  <c:v>6.3640459140822241</c:v>
                </c:pt>
                <c:pt idx="36">
                  <c:v>6.1683134600230298</c:v>
                </c:pt>
                <c:pt idx="37">
                  <c:v>6.0661108957619891</c:v>
                </c:pt>
                <c:pt idx="38">
                  <c:v>5.8699558631443471</c:v>
                </c:pt>
                <c:pt idx="39">
                  <c:v>5.8585038172532986</c:v>
                </c:pt>
                <c:pt idx="40">
                  <c:v>5.8133051800536633</c:v>
                </c:pt>
                <c:pt idx="41">
                  <c:v>5.7906499784348187</c:v>
                </c:pt>
                <c:pt idx="42">
                  <c:v>5.6449691378677995</c:v>
                </c:pt>
                <c:pt idx="43">
                  <c:v>5.443456407150606</c:v>
                </c:pt>
                <c:pt idx="44">
                  <c:v>5.2208424029204057</c:v>
                </c:pt>
                <c:pt idx="45">
                  <c:v>5.0698175574424091</c:v>
                </c:pt>
                <c:pt idx="46">
                  <c:v>4.9230629378275017</c:v>
                </c:pt>
                <c:pt idx="47">
                  <c:v>4.7141807947931031</c:v>
                </c:pt>
                <c:pt idx="48">
                  <c:v>4.6889665768500093</c:v>
                </c:pt>
                <c:pt idx="49">
                  <c:v>4.6238563289775581</c:v>
                </c:pt>
                <c:pt idx="50">
                  <c:v>4.5593218666931907</c:v>
                </c:pt>
                <c:pt idx="51">
                  <c:v>4.5491340936811113</c:v>
                </c:pt>
                <c:pt idx="52">
                  <c:v>4.3777436968055383</c:v>
                </c:pt>
                <c:pt idx="53">
                  <c:v>3.8424303266690929</c:v>
                </c:pt>
                <c:pt idx="54">
                  <c:v>3.9320602695341571</c:v>
                </c:pt>
                <c:pt idx="55">
                  <c:v>3.8739460439720235</c:v>
                </c:pt>
                <c:pt idx="56">
                  <c:v>3.8920637791396389</c:v>
                </c:pt>
                <c:pt idx="57">
                  <c:v>3.7978186144378454</c:v>
                </c:pt>
                <c:pt idx="58">
                  <c:v>3.6950330155578084</c:v>
                </c:pt>
                <c:pt idx="59">
                  <c:v>3.7318671287838256</c:v>
                </c:pt>
                <c:pt idx="60">
                  <c:v>3.7083712731785106</c:v>
                </c:pt>
                <c:pt idx="61">
                  <c:v>3.6760695584377086</c:v>
                </c:pt>
                <c:pt idx="62">
                  <c:v>3.5518559401857059</c:v>
                </c:pt>
                <c:pt idx="63">
                  <c:v>3.3340520748915865</c:v>
                </c:pt>
                <c:pt idx="64">
                  <c:v>3.1639129137054542</c:v>
                </c:pt>
              </c:numCache>
            </c:numRef>
          </c:val>
        </c:ser>
        <c:marker val="1"/>
        <c:axId val="128599552"/>
        <c:axId val="128494592"/>
      </c:lineChart>
      <c:catAx>
        <c:axId val="128469632"/>
        <c:scaling>
          <c:orientation val="minMax"/>
        </c:scaling>
        <c:axPos val="b"/>
        <c:numFmt formatCode="General" sourceLinked="1"/>
        <c:tickLblPos val="nextTo"/>
        <c:txPr>
          <a:bodyPr rot="-5400000" vert="horz"/>
          <a:lstStyle/>
          <a:p>
            <a:pPr>
              <a:defRPr sz="800" b="0"/>
            </a:pPr>
            <a:endParaRPr lang="fr-FR"/>
          </a:p>
        </c:txPr>
        <c:crossAx val="128492672"/>
        <c:crosses val="autoZero"/>
        <c:auto val="1"/>
        <c:lblAlgn val="ctr"/>
        <c:lblOffset val="100"/>
        <c:tickLblSkip val="2"/>
        <c:tickMarkSkip val="1"/>
      </c:catAx>
      <c:valAx>
        <c:axId val="128492672"/>
        <c:scaling>
          <c:orientation val="minMax"/>
          <c:max val="280"/>
        </c:scaling>
        <c:axPos val="l"/>
        <c:majorGridlines/>
        <c:title>
          <c:tx>
            <c:rich>
              <a:bodyPr rot="-5400000" vert="horz"/>
              <a:lstStyle/>
              <a:p>
                <a:pPr>
                  <a:defRPr sz="800"/>
                </a:pPr>
                <a:r>
                  <a:rPr lang="en-US" sz="800"/>
                  <a:t>Indice du prix relatif du tabac</a:t>
                </a:r>
              </a:p>
            </c:rich>
          </c:tx>
        </c:title>
        <c:numFmt formatCode="General" sourceLinked="1"/>
        <c:tickLblPos val="nextTo"/>
        <c:txPr>
          <a:bodyPr/>
          <a:lstStyle/>
          <a:p>
            <a:pPr>
              <a:defRPr sz="800"/>
            </a:pPr>
            <a:endParaRPr lang="fr-FR"/>
          </a:p>
        </c:txPr>
        <c:crossAx val="128469632"/>
        <c:crosses val="autoZero"/>
        <c:crossBetween val="between"/>
        <c:majorUnit val="10"/>
      </c:valAx>
      <c:valAx>
        <c:axId val="128494592"/>
        <c:scaling>
          <c:orientation val="minMax"/>
          <c:max val="7.5"/>
          <c:min val="0"/>
        </c:scaling>
        <c:axPos val="r"/>
        <c:title>
          <c:tx>
            <c:rich>
              <a:bodyPr rot="-5400000" vert="horz"/>
              <a:lstStyle/>
              <a:p>
                <a:pPr>
                  <a:defRPr sz="800"/>
                </a:pPr>
                <a:r>
                  <a:rPr lang="en-US" sz="800"/>
                  <a:t>Consommation de tabac en grammes par adulte et par jour</a:t>
                </a:r>
              </a:p>
            </c:rich>
          </c:tx>
        </c:title>
        <c:numFmt formatCode="#,##0.0" sourceLinked="0"/>
        <c:tickLblPos val="nextTo"/>
        <c:txPr>
          <a:bodyPr/>
          <a:lstStyle/>
          <a:p>
            <a:pPr>
              <a:defRPr sz="800"/>
            </a:pPr>
            <a:endParaRPr lang="fr-FR"/>
          </a:p>
        </c:txPr>
        <c:crossAx val="128599552"/>
        <c:crosses val="max"/>
        <c:crossBetween val="between"/>
        <c:majorUnit val="0.30000000000000032"/>
      </c:valAx>
      <c:catAx>
        <c:axId val="128599552"/>
        <c:scaling>
          <c:orientation val="minMax"/>
        </c:scaling>
        <c:delete val="1"/>
        <c:axPos val="b"/>
        <c:numFmt formatCode="General" sourceLinked="1"/>
        <c:tickLblPos val="none"/>
        <c:crossAx val="128494592"/>
        <c:crosses val="autoZero"/>
        <c:auto val="1"/>
        <c:lblAlgn val="ctr"/>
        <c:lblOffset val="100"/>
      </c:catAx>
    </c:plotArea>
    <c:legend>
      <c:legendPos val="r"/>
      <c:layout>
        <c:manualLayout>
          <c:xMode val="edge"/>
          <c:yMode val="edge"/>
          <c:x val="6.9981508650999669E-2"/>
          <c:y val="0.72283907768816447"/>
          <c:w val="0.33039231176588052"/>
          <c:h val="9.5800275478065564E-2"/>
        </c:manualLayout>
      </c:layout>
      <c:spPr>
        <a:solidFill>
          <a:schemeClr val="bg1">
            <a:lumMod val="85000"/>
          </a:schemeClr>
        </a:solidFill>
        <a:ln>
          <a:solidFill>
            <a:schemeClr val="accent1"/>
          </a:solidFill>
        </a:ln>
      </c:spPr>
      <c:txPr>
        <a:bodyPr/>
        <a:lstStyle/>
        <a:p>
          <a:pPr>
            <a:defRPr sz="600"/>
          </a:pPr>
          <a:endParaRPr lang="fr-FR"/>
        </a:p>
      </c:txP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fr-FR"/>
  <c:chart>
    <c:title>
      <c:txPr>
        <a:bodyPr/>
        <a:lstStyle/>
        <a:p>
          <a:pPr>
            <a:defRPr sz="1200"/>
          </a:pPr>
          <a:endParaRPr lang="fr-FR"/>
        </a:p>
      </c:txPr>
    </c:title>
    <c:plotArea>
      <c:layout>
        <c:manualLayout>
          <c:layoutTarget val="inner"/>
          <c:xMode val="edge"/>
          <c:yMode val="edge"/>
          <c:x val="5.0953229729718122E-2"/>
          <c:y val="0.13353979351792794"/>
          <c:w val="0.93404280501332204"/>
          <c:h val="0.78623343407364599"/>
        </c:manualLayout>
      </c:layout>
      <c:lineChart>
        <c:grouping val="standard"/>
        <c:ser>
          <c:idx val="0"/>
          <c:order val="0"/>
          <c:tx>
            <c:strRef>
              <c:f>Feuil7!$B$46</c:f>
              <c:strCache>
                <c:ptCount val="1"/>
                <c:pt idx="0">
                  <c:v>Part des dépenses pré-engagées dans les dépenses de consommation finale des ménages</c:v>
                </c:pt>
              </c:strCache>
            </c:strRef>
          </c:tx>
          <c:spPr>
            <a:ln w="38100"/>
          </c:spPr>
          <c:marker>
            <c:symbol val="none"/>
          </c:marker>
          <c:cat>
            <c:numRef>
              <c:f>Feuil7!$C$4:$BH$4</c:f>
              <c:numCache>
                <c:formatCode>0</c:formatCode>
                <c:ptCount val="58"/>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pt idx="57">
                  <c:v>2016</c:v>
                </c:pt>
              </c:numCache>
            </c:numRef>
          </c:cat>
          <c:val>
            <c:numRef>
              <c:f>Feuil7!$C$46:$BH$46</c:f>
              <c:numCache>
                <c:formatCode>0.0</c:formatCode>
                <c:ptCount val="58"/>
                <c:pt idx="0">
                  <c:v>14.678000000000001</c:v>
                </c:pt>
                <c:pt idx="1">
                  <c:v>15.29</c:v>
                </c:pt>
                <c:pt idx="2">
                  <c:v>15.725</c:v>
                </c:pt>
                <c:pt idx="3">
                  <c:v>16.254999999999999</c:v>
                </c:pt>
                <c:pt idx="4">
                  <c:v>17.029</c:v>
                </c:pt>
                <c:pt idx="5">
                  <c:v>17.462999999999983</c:v>
                </c:pt>
                <c:pt idx="6">
                  <c:v>18.484999999999989</c:v>
                </c:pt>
                <c:pt idx="7">
                  <c:v>19.178999999999988</c:v>
                </c:pt>
                <c:pt idx="8">
                  <c:v>20.396999999999988</c:v>
                </c:pt>
                <c:pt idx="9">
                  <c:v>21.449000000000002</c:v>
                </c:pt>
                <c:pt idx="10">
                  <c:v>22.512</c:v>
                </c:pt>
                <c:pt idx="11">
                  <c:v>23.347999999999999</c:v>
                </c:pt>
                <c:pt idx="12">
                  <c:v>23.587</c:v>
                </c:pt>
                <c:pt idx="13">
                  <c:v>23.49799999999999</c:v>
                </c:pt>
                <c:pt idx="14">
                  <c:v>23.960999999999984</c:v>
                </c:pt>
                <c:pt idx="15">
                  <c:v>24.933</c:v>
                </c:pt>
                <c:pt idx="16">
                  <c:v>24.387</c:v>
                </c:pt>
                <c:pt idx="17">
                  <c:v>24.734999999999999</c:v>
                </c:pt>
                <c:pt idx="18">
                  <c:v>25.009</c:v>
                </c:pt>
                <c:pt idx="19">
                  <c:v>25.407999999999991</c:v>
                </c:pt>
                <c:pt idx="20">
                  <c:v>25.891999999999999</c:v>
                </c:pt>
                <c:pt idx="21">
                  <c:v>27.036999999999999</c:v>
                </c:pt>
                <c:pt idx="22">
                  <c:v>27.577999999999999</c:v>
                </c:pt>
                <c:pt idx="23">
                  <c:v>27.363</c:v>
                </c:pt>
                <c:pt idx="24">
                  <c:v>28.306000000000001</c:v>
                </c:pt>
                <c:pt idx="25">
                  <c:v>29.437999999999999</c:v>
                </c:pt>
                <c:pt idx="26">
                  <c:v>30.033999999999999</c:v>
                </c:pt>
                <c:pt idx="27">
                  <c:v>29.574999999999999</c:v>
                </c:pt>
                <c:pt idx="28">
                  <c:v>29.477</c:v>
                </c:pt>
                <c:pt idx="29">
                  <c:v>29.58499999999999</c:v>
                </c:pt>
                <c:pt idx="30">
                  <c:v>29.83100000000001</c:v>
                </c:pt>
                <c:pt idx="31">
                  <c:v>30.131000000000011</c:v>
                </c:pt>
                <c:pt idx="32">
                  <c:v>30.654000000000011</c:v>
                </c:pt>
                <c:pt idx="33">
                  <c:v>31.315000000000001</c:v>
                </c:pt>
                <c:pt idx="34">
                  <c:v>31.881999999999991</c:v>
                </c:pt>
                <c:pt idx="35">
                  <c:v>31.529</c:v>
                </c:pt>
                <c:pt idx="36">
                  <c:v>31.242999999999984</c:v>
                </c:pt>
                <c:pt idx="37">
                  <c:v>31.670999999999999</c:v>
                </c:pt>
                <c:pt idx="38">
                  <c:v>31.675000000000001</c:v>
                </c:pt>
                <c:pt idx="39">
                  <c:v>31.411000000000001</c:v>
                </c:pt>
                <c:pt idx="40">
                  <c:v>30.855</c:v>
                </c:pt>
                <c:pt idx="41">
                  <c:v>31.236000000000001</c:v>
                </c:pt>
                <c:pt idx="42">
                  <c:v>31.72</c:v>
                </c:pt>
                <c:pt idx="43">
                  <c:v>31.574999999999999</c:v>
                </c:pt>
                <c:pt idx="44">
                  <c:v>31.911999999999999</c:v>
                </c:pt>
                <c:pt idx="45">
                  <c:v>32.177</c:v>
                </c:pt>
                <c:pt idx="46">
                  <c:v>32.475000000000001</c:v>
                </c:pt>
                <c:pt idx="47">
                  <c:v>32.898000000000003</c:v>
                </c:pt>
                <c:pt idx="48">
                  <c:v>33.173000000000002</c:v>
                </c:pt>
                <c:pt idx="49">
                  <c:v>33.731000000000002</c:v>
                </c:pt>
                <c:pt idx="50">
                  <c:v>34.03</c:v>
                </c:pt>
                <c:pt idx="51">
                  <c:v>33.774000000000001</c:v>
                </c:pt>
                <c:pt idx="52">
                  <c:v>33.379999999999995</c:v>
                </c:pt>
                <c:pt idx="53">
                  <c:v>33.86</c:v>
                </c:pt>
                <c:pt idx="54">
                  <c:v>34.169000000000011</c:v>
                </c:pt>
                <c:pt idx="55">
                  <c:v>33.909000000000006</c:v>
                </c:pt>
                <c:pt idx="56">
                  <c:v>33.939</c:v>
                </c:pt>
                <c:pt idx="57">
                  <c:v>33.682000000000002</c:v>
                </c:pt>
              </c:numCache>
            </c:numRef>
          </c:val>
        </c:ser>
        <c:marker val="1"/>
        <c:axId val="129068032"/>
        <c:axId val="129099648"/>
      </c:lineChart>
      <c:catAx>
        <c:axId val="129068032"/>
        <c:scaling>
          <c:orientation val="minMax"/>
        </c:scaling>
        <c:axPos val="b"/>
        <c:majorGridlines/>
        <c:numFmt formatCode="0" sourceLinked="1"/>
        <c:tickLblPos val="nextTo"/>
        <c:txPr>
          <a:bodyPr rot="-5400000" vert="horz"/>
          <a:lstStyle/>
          <a:p>
            <a:pPr>
              <a:defRPr sz="800" b="1"/>
            </a:pPr>
            <a:endParaRPr lang="fr-FR"/>
          </a:p>
        </c:txPr>
        <c:crossAx val="129099648"/>
        <c:crosses val="autoZero"/>
        <c:auto val="1"/>
        <c:lblAlgn val="ctr"/>
        <c:lblOffset val="100"/>
      </c:catAx>
      <c:valAx>
        <c:axId val="129099648"/>
        <c:scaling>
          <c:orientation val="minMax"/>
        </c:scaling>
        <c:axPos val="l"/>
        <c:majorGridlines/>
        <c:title>
          <c:tx>
            <c:rich>
              <a:bodyPr rot="0" vert="horz"/>
              <a:lstStyle/>
              <a:p>
                <a:pPr>
                  <a:defRPr/>
                </a:pPr>
                <a:r>
                  <a:rPr lang="en-US"/>
                  <a:t>%</a:t>
                </a:r>
              </a:p>
            </c:rich>
          </c:tx>
          <c:layout>
            <c:manualLayout>
              <c:xMode val="edge"/>
              <c:yMode val="edge"/>
              <c:x val="2.0459952623127126E-2"/>
              <c:y val="6.4648850788877055E-2"/>
            </c:manualLayout>
          </c:layout>
        </c:title>
        <c:numFmt formatCode="0.0" sourceLinked="1"/>
        <c:tickLblPos val="nextTo"/>
        <c:txPr>
          <a:bodyPr/>
          <a:lstStyle/>
          <a:p>
            <a:pPr>
              <a:defRPr sz="800" b="1"/>
            </a:pPr>
            <a:endParaRPr lang="fr-FR"/>
          </a:p>
        </c:txPr>
        <c:crossAx val="129068032"/>
        <c:crosses val="autoZero"/>
        <c:crossBetween val="between"/>
        <c:majorUnit val="1"/>
      </c:valAx>
    </c:plotArea>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0.41822</cdr:x>
      <cdr:y>0.09859</cdr:y>
    </cdr:from>
    <cdr:to>
      <cdr:x>0.41839</cdr:x>
      <cdr:y>0.90496</cdr:y>
    </cdr:to>
    <cdr:sp macro="" textlink="">
      <cdr:nvSpPr>
        <cdr:cNvPr id="3" name="Connecteur droit 2"/>
        <cdr:cNvSpPr/>
      </cdr:nvSpPr>
      <cdr:spPr>
        <a:xfrm xmlns:a="http://schemas.openxmlformats.org/drawingml/2006/main" rot="5400000" flipH="1" flipV="1">
          <a:off x="1443316" y="3050037"/>
          <a:ext cx="4902830" cy="1583"/>
        </a:xfrm>
        <a:prstGeom xmlns:a="http://schemas.openxmlformats.org/drawingml/2006/main" prst="line">
          <a:avLst/>
        </a:prstGeom>
        <a:ln xmlns:a="http://schemas.openxmlformats.org/drawingml/2006/main" w="254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fr-FR"/>
        </a:p>
      </cdr:txBody>
    </cdr:sp>
  </cdr:relSizeAnchor>
  <cdr:relSizeAnchor xmlns:cdr="http://schemas.openxmlformats.org/drawingml/2006/chartDrawing">
    <cdr:from>
      <cdr:x>0.61696</cdr:x>
      <cdr:y>0.09684</cdr:y>
    </cdr:from>
    <cdr:to>
      <cdr:x>0.61713</cdr:x>
      <cdr:y>0.9032</cdr:y>
    </cdr:to>
    <cdr:sp macro="" textlink="">
      <cdr:nvSpPr>
        <cdr:cNvPr id="4" name="Connecteur droit 3"/>
        <cdr:cNvSpPr/>
      </cdr:nvSpPr>
      <cdr:spPr>
        <a:xfrm xmlns:a="http://schemas.openxmlformats.org/drawingml/2006/main" rot="5400000" flipH="1" flipV="1">
          <a:off x="3293727" y="3039421"/>
          <a:ext cx="4902770" cy="1583"/>
        </a:xfrm>
        <a:prstGeom xmlns:a="http://schemas.openxmlformats.org/drawingml/2006/main" prst="line">
          <a:avLst/>
        </a:prstGeom>
        <a:noFill xmlns:a="http://schemas.openxmlformats.org/drawingml/2006/main"/>
        <a:ln xmlns:a="http://schemas.openxmlformats.org/drawingml/2006/main" w="25400"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fr-FR"/>
        </a:p>
      </cdr:txBody>
    </cdr:sp>
  </cdr:relSizeAnchor>
  <cdr:relSizeAnchor xmlns:cdr="http://schemas.openxmlformats.org/drawingml/2006/chartDrawing">
    <cdr:from>
      <cdr:x>0.7666</cdr:x>
      <cdr:y>0.09964</cdr:y>
    </cdr:from>
    <cdr:to>
      <cdr:x>0.76677</cdr:x>
      <cdr:y>0.90601</cdr:y>
    </cdr:to>
    <cdr:sp macro="" textlink="">
      <cdr:nvSpPr>
        <cdr:cNvPr id="5" name="Connecteur droit 4"/>
        <cdr:cNvSpPr/>
      </cdr:nvSpPr>
      <cdr:spPr>
        <a:xfrm xmlns:a="http://schemas.openxmlformats.org/drawingml/2006/main" rot="5400000" flipH="1" flipV="1">
          <a:off x="4686995" y="3056447"/>
          <a:ext cx="4902830" cy="1583"/>
        </a:xfrm>
        <a:prstGeom xmlns:a="http://schemas.openxmlformats.org/drawingml/2006/main" prst="line">
          <a:avLst/>
        </a:prstGeom>
        <a:ln xmlns:a="http://schemas.openxmlformats.org/drawingml/2006/main" w="254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fr-FR"/>
        </a:p>
      </cdr:txBody>
    </cdr:sp>
  </cdr:relSizeAnchor>
  <cdr:relSizeAnchor xmlns:cdr="http://schemas.openxmlformats.org/drawingml/2006/chartDrawing">
    <cdr:from>
      <cdr:x>0.43045</cdr:x>
      <cdr:y>0.34585</cdr:y>
    </cdr:from>
    <cdr:to>
      <cdr:x>0.52269</cdr:x>
      <cdr:y>0.39318</cdr:y>
    </cdr:to>
    <cdr:sp macro="" textlink="">
      <cdr:nvSpPr>
        <cdr:cNvPr id="6" name="ZoneTexte 5"/>
        <cdr:cNvSpPr txBox="1"/>
      </cdr:nvSpPr>
      <cdr:spPr>
        <a:xfrm xmlns:a="http://schemas.openxmlformats.org/drawingml/2006/main">
          <a:off x="2479154" y="1300902"/>
          <a:ext cx="531243" cy="178041"/>
        </a:xfrm>
        <a:prstGeom xmlns:a="http://schemas.openxmlformats.org/drawingml/2006/main" prst="rect">
          <a:avLst/>
        </a:prstGeom>
        <a:solidFill xmlns:a="http://schemas.openxmlformats.org/drawingml/2006/main">
          <a:schemeClr val="tx2">
            <a:lumMod val="20000"/>
            <a:lumOff val="80000"/>
          </a:schemeClr>
        </a:solidFill>
        <a:ln xmlns:a="http://schemas.openxmlformats.org/drawingml/2006/main">
          <a:solidFill>
            <a:schemeClr val="tx1"/>
          </a:solidFill>
        </a:ln>
      </cdr:spPr>
      <cdr:txBody>
        <a:bodyPr xmlns:a="http://schemas.openxmlformats.org/drawingml/2006/main" wrap="square" rtlCol="0"/>
        <a:lstStyle xmlns:a="http://schemas.openxmlformats.org/drawingml/2006/main"/>
        <a:p xmlns:a="http://schemas.openxmlformats.org/drawingml/2006/main">
          <a:r>
            <a:rPr lang="fr-FR" sz="800" b="1"/>
            <a:t>Loi Veil</a:t>
          </a:r>
        </a:p>
      </cdr:txBody>
    </cdr:sp>
  </cdr:relSizeAnchor>
  <cdr:relSizeAnchor xmlns:cdr="http://schemas.openxmlformats.org/drawingml/2006/chartDrawing">
    <cdr:from>
      <cdr:x>0.63348</cdr:x>
      <cdr:y>0.79173</cdr:y>
    </cdr:from>
    <cdr:to>
      <cdr:x>0.72977</cdr:x>
      <cdr:y>0.83921</cdr:y>
    </cdr:to>
    <cdr:sp macro="" textlink="">
      <cdr:nvSpPr>
        <cdr:cNvPr id="7" name="ZoneTexte 1"/>
        <cdr:cNvSpPr txBox="1"/>
      </cdr:nvSpPr>
      <cdr:spPr>
        <a:xfrm xmlns:a="http://schemas.openxmlformats.org/drawingml/2006/main">
          <a:off x="3648495" y="2978062"/>
          <a:ext cx="554597" cy="178606"/>
        </a:xfrm>
        <a:prstGeom xmlns:a="http://schemas.openxmlformats.org/drawingml/2006/main" prst="rect">
          <a:avLst/>
        </a:prstGeom>
        <a:solidFill xmlns:a="http://schemas.openxmlformats.org/drawingml/2006/main">
          <a:srgbClr val="1F497D">
            <a:lumMod val="20000"/>
            <a:lumOff val="80000"/>
          </a:srgbClr>
        </a:solidFill>
        <a:ln xmlns:a="http://schemas.openxmlformats.org/drawingml/2006/main">
          <a:solidFill>
            <a:sysClr val="windowText" lastClr="000000"/>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fr-FR" sz="800" b="1"/>
            <a:t>Loi Evin</a:t>
          </a:r>
        </a:p>
      </cdr:txBody>
    </cdr:sp>
  </cdr:relSizeAnchor>
  <cdr:relSizeAnchor xmlns:cdr="http://schemas.openxmlformats.org/drawingml/2006/chartDrawing">
    <cdr:from>
      <cdr:x>0.78143</cdr:x>
      <cdr:y>0.67242</cdr:y>
    </cdr:from>
    <cdr:to>
      <cdr:x>0.90649</cdr:x>
      <cdr:y>0.73141</cdr:y>
    </cdr:to>
    <cdr:sp macro="" textlink="">
      <cdr:nvSpPr>
        <cdr:cNvPr id="8" name="ZoneTexte 1"/>
        <cdr:cNvSpPr txBox="1"/>
      </cdr:nvSpPr>
      <cdr:spPr>
        <a:xfrm xmlns:a="http://schemas.openxmlformats.org/drawingml/2006/main">
          <a:off x="4500607" y="2529281"/>
          <a:ext cx="720253" cy="221871"/>
        </a:xfrm>
        <a:prstGeom xmlns:a="http://schemas.openxmlformats.org/drawingml/2006/main" prst="rect">
          <a:avLst/>
        </a:prstGeom>
        <a:solidFill xmlns:a="http://schemas.openxmlformats.org/drawingml/2006/main">
          <a:srgbClr val="1F497D">
            <a:lumMod val="20000"/>
            <a:lumOff val="80000"/>
          </a:srgbClr>
        </a:solidFill>
        <a:ln xmlns:a="http://schemas.openxmlformats.org/drawingml/2006/main">
          <a:solidFill>
            <a:sysClr val="windowText" lastClr="000000"/>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fr-FR" sz="800" b="1"/>
            <a:t>Plan Cancer</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D772D-CC41-4005-96CE-0609B704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Pages>
  <Words>1385</Words>
  <Characters>7619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20</cp:revision>
  <cp:lastPrinted>2015-07-04T16:47:00Z</cp:lastPrinted>
  <dcterms:created xsi:type="dcterms:W3CDTF">2017-06-09T13:40:00Z</dcterms:created>
  <dcterms:modified xsi:type="dcterms:W3CDTF">2017-06-16T15:46:00Z</dcterms:modified>
</cp:coreProperties>
</file>