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CA7B2E" w:rsidP="000B4BC4">
      <w:pPr>
        <w:jc w:val="center"/>
        <w:rPr>
          <w:b/>
          <w:color w:val="4F81BD" w:themeColor="accent1"/>
          <w:sz w:val="32"/>
          <w:szCs w:val="32"/>
        </w:rPr>
      </w:pPr>
      <w:r>
        <w:rPr>
          <w:b/>
          <w:color w:val="4F81BD" w:themeColor="accent1"/>
          <w:sz w:val="32"/>
          <w:szCs w:val="32"/>
        </w:rPr>
        <w:t>Comment les revenus et les prix influencent-ils les choix des consommateurs</w:t>
      </w:r>
      <w:r w:rsidRPr="000B4BC4">
        <w:rPr>
          <w:b/>
          <w:color w:val="4F81BD" w:themeColor="accent1"/>
          <w:sz w:val="32"/>
          <w:szCs w:val="32"/>
        </w:rPr>
        <w:t xml:space="preserve"> ? (</w:t>
      </w:r>
      <w:r w:rsidR="000A7124">
        <w:rPr>
          <w:b/>
          <w:color w:val="4F81BD" w:themeColor="accent1"/>
          <w:sz w:val="32"/>
          <w:szCs w:val="32"/>
        </w:rPr>
        <w:t>3</w:t>
      </w:r>
      <w:r w:rsidRPr="000B4BC4">
        <w:rPr>
          <w:b/>
          <w:color w:val="4F81BD" w:themeColor="accent1"/>
          <w:sz w:val="32"/>
          <w:szCs w:val="32"/>
        </w:rPr>
        <w:t>/</w:t>
      </w:r>
      <w:r w:rsidR="005C795D">
        <w:rPr>
          <w:b/>
          <w:color w:val="4F81BD" w:themeColor="accent1"/>
          <w:sz w:val="32"/>
          <w:szCs w:val="32"/>
        </w:rPr>
        <w:t>4</w:t>
      </w:r>
      <w:r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BC2A10" w:rsidP="000B4BC4">
      <w:pPr>
        <w:jc w:val="center"/>
        <w:rPr>
          <w:b/>
          <w:color w:val="4F81BD" w:themeColor="accent1"/>
          <w:sz w:val="32"/>
          <w:szCs w:val="32"/>
        </w:rPr>
      </w:pPr>
      <w:r>
        <w:rPr>
          <w:b/>
          <w:color w:val="4F81BD" w:themeColor="accent1"/>
          <w:sz w:val="32"/>
          <w:szCs w:val="32"/>
        </w:rPr>
        <w:t>Comportements et formes d’épargne</w:t>
      </w:r>
      <w:r w:rsidR="00360104">
        <w:rPr>
          <w:b/>
          <w:color w:val="4F81BD" w:themeColor="accent1"/>
          <w:sz w:val="32"/>
          <w:szCs w:val="32"/>
        </w:rPr>
        <w:t xml:space="preserve"> des ménages</w:t>
      </w:r>
    </w:p>
    <w:p w:rsidR="008F6312" w:rsidRDefault="008F6312">
      <w:pPr>
        <w:rPr>
          <w:b/>
        </w:rPr>
      </w:pPr>
    </w:p>
    <w:p w:rsidR="000B4BC4" w:rsidRDefault="000B4BC4">
      <w:pPr>
        <w:rPr>
          <w:b/>
        </w:rPr>
      </w:pPr>
      <w:r w:rsidRPr="003648B1">
        <w:rPr>
          <w:b/>
        </w:rPr>
        <w:t>Document 1</w:t>
      </w:r>
      <w:r w:rsidR="008A39FC">
        <w:rPr>
          <w:b/>
        </w:rPr>
        <w:t xml:space="preserve"> </w:t>
      </w:r>
    </w:p>
    <w:p w:rsidR="000B4BC4" w:rsidRDefault="000B4BC4">
      <w:pPr>
        <w:rPr>
          <w:noProof/>
        </w:rPr>
      </w:pPr>
    </w:p>
    <w:p w:rsidR="00DD4337" w:rsidRDefault="00C02460">
      <w:pPr>
        <w:rPr>
          <w:noProof/>
        </w:rPr>
      </w:pPr>
      <w:r>
        <w:rPr>
          <w:noProof/>
          <w:color w:val="000000"/>
        </w:rPr>
        <w:drawing>
          <wp:inline distT="0" distB="0" distL="0" distR="0">
            <wp:extent cx="5759450" cy="3769822"/>
            <wp:effectExtent l="19050" t="0" r="0" b="0"/>
            <wp:docPr id="3" name="Image 7" descr="https://lh6.googleusercontent.com/Kk-UJiXbkbR0N0G2iDys1WVJv3_6i2nhzbCswmmFgWQGJ_8FC-HPYBEYdA3yymcFGaHbgEupXrydtx0MKHaNuJR74L8xJm6J9m-M1-TM0U7Bt9bceZEEH4KYw1oeCjlsbfrVeU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Kk-UJiXbkbR0N0G2iDys1WVJv3_6i2nhzbCswmmFgWQGJ_8FC-HPYBEYdA3yymcFGaHbgEupXrydtx0MKHaNuJR74L8xJm6J9m-M1-TM0U7Bt9bceZEEH4KYw1oeCjlsbfrVeUm9"/>
                    <pic:cNvPicPr>
                      <a:picLocks noChangeAspect="1" noChangeArrowheads="1"/>
                    </pic:cNvPicPr>
                  </pic:nvPicPr>
                  <pic:blipFill>
                    <a:blip r:embed="rId8" cstate="print"/>
                    <a:srcRect/>
                    <a:stretch>
                      <a:fillRect/>
                    </a:stretch>
                  </pic:blipFill>
                  <pic:spPr bwMode="auto">
                    <a:xfrm>
                      <a:off x="0" y="0"/>
                      <a:ext cx="5759450" cy="3769822"/>
                    </a:xfrm>
                    <a:prstGeom prst="rect">
                      <a:avLst/>
                    </a:prstGeom>
                    <a:noFill/>
                    <a:ln w="9525">
                      <a:noFill/>
                      <a:miter lim="800000"/>
                      <a:headEnd/>
                      <a:tailEnd/>
                    </a:ln>
                  </pic:spPr>
                </pic:pic>
              </a:graphicData>
            </a:graphic>
          </wp:inline>
        </w:drawing>
      </w:r>
    </w:p>
    <w:p w:rsidR="00C02460" w:rsidRDefault="00C02460" w:rsidP="00C02460">
      <w:pPr>
        <w:pStyle w:val="NormalWeb"/>
        <w:spacing w:before="0" w:beforeAutospacing="0" w:after="0" w:afterAutospacing="0"/>
        <w:jc w:val="right"/>
      </w:pPr>
      <w:r>
        <w:rPr>
          <w:b/>
          <w:bCs/>
          <w:i/>
          <w:iCs/>
          <w:color w:val="000000"/>
        </w:rPr>
        <w:t xml:space="preserve">Source : INSEE, </w:t>
      </w:r>
      <w:hyperlink r:id="rId9" w:anchor="tableau-T17F122G1" w:history="1">
        <w:r>
          <w:rPr>
            <w:rStyle w:val="Lienhypertexte"/>
            <w:b/>
            <w:bCs/>
            <w:i/>
            <w:iCs/>
            <w:color w:val="1155CC"/>
          </w:rPr>
          <w:t>Tableaux de l’économie française, édition 2017 (02/03/2017)</w:t>
        </w:r>
      </w:hyperlink>
    </w:p>
    <w:p w:rsidR="00C02460" w:rsidRPr="00C02460" w:rsidRDefault="00C02460" w:rsidP="00C02460">
      <w:pPr>
        <w:pStyle w:val="NormalWeb"/>
        <w:spacing w:before="0" w:beforeAutospacing="0" w:after="0" w:afterAutospacing="0"/>
        <w:jc w:val="both"/>
        <w:textAlignment w:val="baseline"/>
        <w:rPr>
          <w:color w:val="000000"/>
          <w:sz w:val="20"/>
          <w:szCs w:val="20"/>
        </w:rPr>
      </w:pPr>
    </w:p>
    <w:p w:rsidR="00C02460" w:rsidRDefault="00C02460" w:rsidP="00C02460">
      <w:pPr>
        <w:pStyle w:val="NormalWeb"/>
        <w:numPr>
          <w:ilvl w:val="0"/>
          <w:numId w:val="20"/>
        </w:numPr>
        <w:spacing w:before="0" w:beforeAutospacing="0" w:after="0" w:afterAutospacing="0"/>
        <w:jc w:val="both"/>
        <w:textAlignment w:val="baseline"/>
        <w:rPr>
          <w:color w:val="000000"/>
          <w:sz w:val="20"/>
          <w:szCs w:val="20"/>
        </w:rPr>
      </w:pPr>
      <w:r>
        <w:rPr>
          <w:b/>
          <w:bCs/>
          <w:color w:val="000000"/>
          <w:sz w:val="20"/>
          <w:szCs w:val="20"/>
        </w:rPr>
        <w:t>Taux d’épargne des ménages</w:t>
      </w:r>
      <w:r>
        <w:rPr>
          <w:color w:val="000000"/>
          <w:sz w:val="20"/>
          <w:szCs w:val="20"/>
        </w:rPr>
        <w:t xml:space="preserve"> = (épargne brute des ménages / RDB des ménages) x 100</w:t>
      </w:r>
    </w:p>
    <w:p w:rsidR="00C02460" w:rsidRDefault="00C02460" w:rsidP="00C02460">
      <w:pPr>
        <w:pStyle w:val="NormalWeb"/>
        <w:numPr>
          <w:ilvl w:val="0"/>
          <w:numId w:val="20"/>
        </w:numPr>
        <w:spacing w:before="0" w:beforeAutospacing="0" w:after="0" w:afterAutospacing="0"/>
        <w:jc w:val="both"/>
        <w:textAlignment w:val="baseline"/>
        <w:rPr>
          <w:color w:val="000000"/>
          <w:sz w:val="20"/>
          <w:szCs w:val="20"/>
        </w:rPr>
      </w:pPr>
      <w:r>
        <w:rPr>
          <w:b/>
          <w:bCs/>
          <w:color w:val="000000"/>
          <w:sz w:val="20"/>
          <w:szCs w:val="20"/>
        </w:rPr>
        <w:t>Taux d’investissement des ménages</w:t>
      </w:r>
      <w:r>
        <w:rPr>
          <w:color w:val="000000"/>
          <w:sz w:val="20"/>
          <w:szCs w:val="20"/>
        </w:rPr>
        <w:t xml:space="preserve"> = (investissement des ménages / RDB des ménages) x 100</w:t>
      </w:r>
    </w:p>
    <w:p w:rsidR="00C02460" w:rsidRDefault="00C02460" w:rsidP="00C02460">
      <w:pPr>
        <w:pStyle w:val="NormalWeb"/>
        <w:spacing w:before="0" w:beforeAutospacing="0" w:after="0" w:afterAutospacing="0"/>
        <w:ind w:left="708"/>
      </w:pPr>
      <w:r>
        <w:rPr>
          <w:color w:val="000000"/>
          <w:sz w:val="20"/>
          <w:szCs w:val="20"/>
        </w:rPr>
        <w:t>L’investissement des ménages est essentiellement constitué d’achats de biens immobiliers auxquels se rajoutent les investissements des entrepreneurs individuels inclus parmi les ménages mais qui n’apparaissent pas ici.</w:t>
      </w:r>
    </w:p>
    <w:p w:rsidR="00C02460" w:rsidRDefault="00C02460" w:rsidP="00C02460">
      <w:pPr>
        <w:pStyle w:val="NormalWeb"/>
        <w:numPr>
          <w:ilvl w:val="0"/>
          <w:numId w:val="20"/>
        </w:numPr>
        <w:spacing w:before="0" w:beforeAutospacing="0" w:after="0" w:afterAutospacing="0"/>
        <w:jc w:val="both"/>
        <w:textAlignment w:val="baseline"/>
        <w:rPr>
          <w:color w:val="000000"/>
          <w:sz w:val="20"/>
          <w:szCs w:val="20"/>
        </w:rPr>
      </w:pPr>
      <w:r>
        <w:rPr>
          <w:b/>
          <w:bCs/>
          <w:color w:val="000000"/>
          <w:sz w:val="20"/>
          <w:szCs w:val="20"/>
        </w:rPr>
        <w:t>Taux d’épargne financière des ménages</w:t>
      </w:r>
      <w:r>
        <w:rPr>
          <w:color w:val="000000"/>
          <w:sz w:val="20"/>
          <w:szCs w:val="20"/>
        </w:rPr>
        <w:t xml:space="preserve"> = (épargne financière des ménages / RDB des ménages) x 100</w:t>
      </w:r>
    </w:p>
    <w:p w:rsidR="00F921C6" w:rsidRDefault="00C02460" w:rsidP="00C02460">
      <w:pPr>
        <w:ind w:left="708"/>
        <w:rPr>
          <w:color w:val="000000"/>
          <w:sz w:val="20"/>
          <w:szCs w:val="20"/>
        </w:rPr>
      </w:pPr>
      <w:r>
        <w:rPr>
          <w:color w:val="000000"/>
          <w:sz w:val="20"/>
          <w:szCs w:val="20"/>
        </w:rPr>
        <w:t>L’épargne financière des ménages est ce qui reste de leur épargne brute une fois prélevées les sommes destinées à l’investissement des ménages.</w:t>
      </w:r>
    </w:p>
    <w:p w:rsidR="00C02460" w:rsidRDefault="00C02460" w:rsidP="00C02460">
      <w:pPr>
        <w:ind w:left="708"/>
        <w:rPr>
          <w:noProof/>
        </w:rPr>
      </w:pPr>
    </w:p>
    <w:p w:rsidR="00176994" w:rsidRDefault="00BA6A06" w:rsidP="009F2B12">
      <w:pPr>
        <w:pStyle w:val="Paragraphedeliste"/>
        <w:numPr>
          <w:ilvl w:val="0"/>
          <w:numId w:val="3"/>
        </w:numPr>
        <w:rPr>
          <w:noProof/>
        </w:rPr>
      </w:pPr>
      <w:r>
        <w:rPr>
          <w:noProof/>
        </w:rPr>
        <w:t>Faites une phrase avec les trois valeurs de l’année 1950.</w:t>
      </w:r>
    </w:p>
    <w:p w:rsidR="0034387C" w:rsidRDefault="0034387C" w:rsidP="009F2B12">
      <w:pPr>
        <w:pStyle w:val="Paragraphedeliste"/>
        <w:numPr>
          <w:ilvl w:val="0"/>
          <w:numId w:val="3"/>
        </w:numPr>
        <w:rPr>
          <w:noProof/>
        </w:rPr>
      </w:pPr>
      <w:r>
        <w:rPr>
          <w:noProof/>
        </w:rPr>
        <w:t>Quelle relation mathématique pouvez-vous établir entre les trois variables du graphique ?</w:t>
      </w:r>
    </w:p>
    <w:p w:rsidR="008E58EE" w:rsidRDefault="0034387C" w:rsidP="009F2B12">
      <w:pPr>
        <w:pStyle w:val="Paragraphedeliste"/>
        <w:numPr>
          <w:ilvl w:val="0"/>
          <w:numId w:val="3"/>
        </w:numPr>
        <w:rPr>
          <w:noProof/>
        </w:rPr>
      </w:pPr>
      <w:r>
        <w:rPr>
          <w:noProof/>
        </w:rPr>
        <w:t>Pouvez-vous distinguer des grandes périodes dans l’évolution du taux d’épargne ?</w:t>
      </w:r>
    </w:p>
    <w:p w:rsidR="00086695" w:rsidRDefault="0034387C" w:rsidP="00086695">
      <w:pPr>
        <w:pStyle w:val="Paragraphedeliste"/>
        <w:numPr>
          <w:ilvl w:val="0"/>
          <w:numId w:val="3"/>
        </w:numPr>
      </w:pPr>
      <w:r>
        <w:rPr>
          <w:noProof/>
        </w:rPr>
        <w:t>Le taux d’investissement et le taux d’épargne financière évoluent-ils de la même façon que le taux d’épargne ?</w:t>
      </w:r>
      <w:r w:rsidR="00086695" w:rsidRPr="00086695">
        <w:br w:type="page"/>
      </w:r>
    </w:p>
    <w:p w:rsidR="00144695" w:rsidRPr="00144695" w:rsidRDefault="00144695" w:rsidP="00144695">
      <w:pPr>
        <w:rPr>
          <w:b/>
        </w:rPr>
      </w:pPr>
      <w:r w:rsidRPr="00144695">
        <w:rPr>
          <w:b/>
        </w:rPr>
        <w:lastRenderedPageBreak/>
        <w:t xml:space="preserve">Document </w:t>
      </w:r>
      <w:r>
        <w:rPr>
          <w:b/>
        </w:rPr>
        <w:t>2</w:t>
      </w:r>
    </w:p>
    <w:p w:rsidR="00144695" w:rsidRPr="00214B25" w:rsidRDefault="00214B25" w:rsidP="00214B25">
      <w:pPr>
        <w:jc w:val="center"/>
        <w:rPr>
          <w:rFonts w:cs="Times New Roman"/>
          <w:szCs w:val="24"/>
        </w:rPr>
      </w:pPr>
      <w:r w:rsidRPr="00214B25">
        <w:rPr>
          <w:rFonts w:cs="Times New Roman"/>
          <w:b/>
          <w:bCs/>
          <w:szCs w:val="24"/>
        </w:rPr>
        <w:t>Principal motif d’épargne des ménages en 2015</w:t>
      </w:r>
    </w:p>
    <w:p w:rsidR="00017604" w:rsidRDefault="00214B25" w:rsidP="00017604">
      <w:bookmarkStart w:id="0" w:name="eztoc107775_0_0_5"/>
      <w:bookmarkEnd w:id="0"/>
      <w:r>
        <w:rPr>
          <w:noProof/>
        </w:rPr>
        <w:drawing>
          <wp:inline distT="0" distB="0" distL="0" distR="0">
            <wp:extent cx="5759450" cy="4728479"/>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59450" cy="4728479"/>
                    </a:xfrm>
                    <a:prstGeom prst="rect">
                      <a:avLst/>
                    </a:prstGeom>
                    <a:noFill/>
                    <a:ln w="9525">
                      <a:noFill/>
                      <a:miter lim="800000"/>
                      <a:headEnd/>
                      <a:tailEnd/>
                    </a:ln>
                  </pic:spPr>
                </pic:pic>
              </a:graphicData>
            </a:graphic>
          </wp:inline>
        </w:drawing>
      </w:r>
    </w:p>
    <w:p w:rsidR="00214B25" w:rsidRPr="00214B25" w:rsidRDefault="00214B25" w:rsidP="00214B25">
      <w:pPr>
        <w:jc w:val="right"/>
        <w:rPr>
          <w:b/>
          <w:i/>
        </w:rPr>
      </w:pPr>
      <w:r w:rsidRPr="00214B25">
        <w:rPr>
          <w:b/>
          <w:i/>
        </w:rPr>
        <w:t xml:space="preserve">INSEE : </w:t>
      </w:r>
      <w:hyperlink r:id="rId11" w:history="1">
        <w:r w:rsidRPr="00214B25">
          <w:rPr>
            <w:rStyle w:val="Lienhypertexte"/>
            <w:b/>
            <w:i/>
          </w:rPr>
          <w:t>La détention d'actifs patrimoniaux début 2015 (page 16)</w:t>
        </w:r>
      </w:hyperlink>
    </w:p>
    <w:p w:rsidR="00355814" w:rsidRDefault="00355814" w:rsidP="00176994">
      <w:pPr>
        <w:jc w:val="left"/>
      </w:pPr>
    </w:p>
    <w:p w:rsidR="00493EB6" w:rsidRDefault="00214B25" w:rsidP="00493EB6">
      <w:pPr>
        <w:pStyle w:val="Paragraphedeliste"/>
        <w:numPr>
          <w:ilvl w:val="0"/>
          <w:numId w:val="11"/>
        </w:numPr>
      </w:pPr>
      <w:r>
        <w:t>Quels sont les trois principaux motifs d’épargne des ménages en 2015</w:t>
      </w:r>
      <w:r w:rsidR="004050D8">
        <w:t xml:space="preserve"> ? </w:t>
      </w:r>
    </w:p>
    <w:p w:rsidR="004050D8" w:rsidRDefault="005D7673" w:rsidP="00493EB6">
      <w:pPr>
        <w:pStyle w:val="Paragraphedeliste"/>
        <w:numPr>
          <w:ilvl w:val="0"/>
          <w:numId w:val="11"/>
        </w:numPr>
      </w:pPr>
      <w:r>
        <w:t>Quel est le type de ménage qui n’épargne pas</w:t>
      </w:r>
      <w:r w:rsidR="004050D8">
        <w:t> ?</w:t>
      </w:r>
    </w:p>
    <w:p w:rsidR="004050D8" w:rsidRDefault="005D7673" w:rsidP="00493EB6">
      <w:pPr>
        <w:pStyle w:val="Paragraphedeliste"/>
        <w:numPr>
          <w:ilvl w:val="0"/>
          <w:numId w:val="11"/>
        </w:numPr>
      </w:pPr>
      <w:r>
        <w:t>Pour quelle raison la proportion de ménages épargnant pour acheter sa résidence principale se réduit-elle fortement avec l’âge</w:t>
      </w:r>
      <w:r w:rsidR="004050D8">
        <w:t> ?</w:t>
      </w:r>
    </w:p>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14578E" w:rsidRDefault="0014578E" w:rsidP="00144695"/>
    <w:p w:rsidR="00475E59" w:rsidRPr="0014578E" w:rsidRDefault="0014578E" w:rsidP="0014578E">
      <w:pPr>
        <w:jc w:val="center"/>
        <w:rPr>
          <w:b/>
        </w:rPr>
      </w:pPr>
      <w:r w:rsidRPr="0014578E">
        <w:rPr>
          <w:b/>
        </w:rPr>
        <w:t>Le patrimoine des ménages en 2015</w:t>
      </w:r>
      <w:r>
        <w:rPr>
          <w:b/>
        </w:rPr>
        <w:t xml:space="preserve"> (en fin d’année)</w:t>
      </w:r>
    </w:p>
    <w:tbl>
      <w:tblPr>
        <w:tblW w:w="915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99"/>
        <w:gridCol w:w="1363"/>
        <w:gridCol w:w="1364"/>
        <w:gridCol w:w="1363"/>
        <w:gridCol w:w="1364"/>
      </w:tblGrid>
      <w:tr w:rsidR="00BB0C3B" w:rsidRPr="0014578E" w:rsidTr="00A44BC7">
        <w:trPr>
          <w:trHeight w:val="300"/>
          <w:jc w:val="center"/>
        </w:trPr>
        <w:tc>
          <w:tcPr>
            <w:tcW w:w="3699" w:type="dxa"/>
            <w:shd w:val="clear" w:color="auto" w:fill="auto"/>
            <w:noWrap/>
            <w:vAlign w:val="bottom"/>
            <w:hideMark/>
          </w:tcPr>
          <w:p w:rsidR="00BB0C3B" w:rsidRPr="0014578E" w:rsidRDefault="00BB0C3B" w:rsidP="0014578E">
            <w:pPr>
              <w:widowControl/>
              <w:autoSpaceDE/>
              <w:autoSpaceDN/>
              <w:adjustRightInd/>
              <w:jc w:val="center"/>
              <w:rPr>
                <w:rFonts w:cs="Times New Roman"/>
                <w:b/>
                <w:color w:val="000000"/>
                <w:szCs w:val="24"/>
              </w:rPr>
            </w:pPr>
          </w:p>
        </w:tc>
        <w:tc>
          <w:tcPr>
            <w:tcW w:w="2727" w:type="dxa"/>
            <w:gridSpan w:val="2"/>
            <w:vAlign w:val="bottom"/>
          </w:tcPr>
          <w:p w:rsidR="00BB0C3B" w:rsidRDefault="00BB0C3B" w:rsidP="0014578E">
            <w:pPr>
              <w:widowControl/>
              <w:autoSpaceDE/>
              <w:autoSpaceDN/>
              <w:adjustRightInd/>
              <w:jc w:val="center"/>
              <w:rPr>
                <w:rFonts w:cs="Times New Roman"/>
                <w:b/>
                <w:color w:val="000000"/>
                <w:szCs w:val="24"/>
              </w:rPr>
            </w:pPr>
            <w:r>
              <w:rPr>
                <w:rFonts w:cs="Times New Roman"/>
                <w:b/>
                <w:color w:val="000000"/>
                <w:szCs w:val="24"/>
              </w:rPr>
              <w:t>1995</w:t>
            </w:r>
          </w:p>
        </w:tc>
        <w:tc>
          <w:tcPr>
            <w:tcW w:w="2727" w:type="dxa"/>
            <w:gridSpan w:val="2"/>
            <w:shd w:val="clear" w:color="auto" w:fill="auto"/>
            <w:noWrap/>
            <w:vAlign w:val="center"/>
            <w:hideMark/>
          </w:tcPr>
          <w:p w:rsidR="00BB0C3B" w:rsidRPr="0014578E" w:rsidRDefault="00BB0C3B" w:rsidP="0014578E">
            <w:pPr>
              <w:widowControl/>
              <w:autoSpaceDE/>
              <w:autoSpaceDN/>
              <w:adjustRightInd/>
              <w:jc w:val="center"/>
              <w:rPr>
                <w:rFonts w:cs="Times New Roman"/>
                <w:b/>
                <w:color w:val="000000"/>
                <w:szCs w:val="24"/>
              </w:rPr>
            </w:pPr>
            <w:r>
              <w:rPr>
                <w:rFonts w:cs="Times New Roman"/>
                <w:b/>
                <w:color w:val="000000"/>
                <w:szCs w:val="24"/>
              </w:rPr>
              <w:t>2015</w:t>
            </w:r>
          </w:p>
        </w:tc>
      </w:tr>
      <w:tr w:rsidR="00BB0C3B" w:rsidRPr="0014578E" w:rsidTr="00BB0C3B">
        <w:trPr>
          <w:trHeight w:val="300"/>
          <w:jc w:val="center"/>
        </w:trPr>
        <w:tc>
          <w:tcPr>
            <w:tcW w:w="3699" w:type="dxa"/>
            <w:shd w:val="clear" w:color="auto" w:fill="auto"/>
            <w:noWrap/>
            <w:vAlign w:val="bottom"/>
            <w:hideMark/>
          </w:tcPr>
          <w:p w:rsidR="00BB0C3B" w:rsidRPr="0014578E" w:rsidRDefault="00BB0C3B" w:rsidP="0014578E">
            <w:pPr>
              <w:widowControl/>
              <w:autoSpaceDE/>
              <w:autoSpaceDN/>
              <w:adjustRightInd/>
              <w:jc w:val="center"/>
              <w:rPr>
                <w:rFonts w:cs="Times New Roman"/>
                <w:b/>
                <w:color w:val="000000"/>
                <w:szCs w:val="24"/>
              </w:rPr>
            </w:pPr>
          </w:p>
        </w:tc>
        <w:tc>
          <w:tcPr>
            <w:tcW w:w="1363" w:type="dxa"/>
            <w:vAlign w:val="bottom"/>
          </w:tcPr>
          <w:p w:rsidR="00BB0C3B" w:rsidRPr="00BB0C3B" w:rsidRDefault="00BB0C3B">
            <w:pPr>
              <w:jc w:val="right"/>
              <w:rPr>
                <w:rFonts w:cs="Times New Roman"/>
                <w:color w:val="000000"/>
                <w:szCs w:val="24"/>
              </w:rPr>
            </w:pPr>
            <w:r w:rsidRPr="0014578E">
              <w:rPr>
                <w:rFonts w:cs="Times New Roman"/>
                <w:b/>
                <w:color w:val="000000"/>
                <w:szCs w:val="24"/>
              </w:rPr>
              <w:t>Milliards €</w:t>
            </w:r>
          </w:p>
        </w:tc>
        <w:tc>
          <w:tcPr>
            <w:tcW w:w="1364" w:type="dxa"/>
            <w:vAlign w:val="center"/>
          </w:tcPr>
          <w:p w:rsidR="00BB0C3B" w:rsidRPr="0014578E" w:rsidRDefault="00BB0C3B" w:rsidP="00BB0C3B">
            <w:pPr>
              <w:widowControl/>
              <w:autoSpaceDE/>
              <w:autoSpaceDN/>
              <w:adjustRightInd/>
              <w:jc w:val="center"/>
              <w:rPr>
                <w:rFonts w:cs="Times New Roman"/>
                <w:b/>
                <w:color w:val="000000"/>
                <w:szCs w:val="24"/>
              </w:rPr>
            </w:pPr>
            <w:r>
              <w:rPr>
                <w:rFonts w:cs="Times New Roman"/>
                <w:b/>
                <w:color w:val="000000"/>
                <w:szCs w:val="24"/>
              </w:rPr>
              <w:t>%</w:t>
            </w:r>
          </w:p>
        </w:tc>
        <w:tc>
          <w:tcPr>
            <w:tcW w:w="1363" w:type="dxa"/>
            <w:shd w:val="clear" w:color="auto" w:fill="auto"/>
            <w:noWrap/>
            <w:vAlign w:val="center"/>
            <w:hideMark/>
          </w:tcPr>
          <w:p w:rsidR="00BB0C3B" w:rsidRPr="0014578E" w:rsidRDefault="00BB0C3B" w:rsidP="0014578E">
            <w:pPr>
              <w:widowControl/>
              <w:autoSpaceDE/>
              <w:autoSpaceDN/>
              <w:adjustRightInd/>
              <w:jc w:val="center"/>
              <w:rPr>
                <w:rFonts w:cs="Times New Roman"/>
                <w:b/>
                <w:color w:val="000000"/>
                <w:szCs w:val="24"/>
              </w:rPr>
            </w:pPr>
            <w:r w:rsidRPr="0014578E">
              <w:rPr>
                <w:rFonts w:cs="Times New Roman"/>
                <w:b/>
                <w:color w:val="000000"/>
                <w:szCs w:val="24"/>
              </w:rPr>
              <w:t>Milliards €</w:t>
            </w:r>
          </w:p>
        </w:tc>
        <w:tc>
          <w:tcPr>
            <w:tcW w:w="1364" w:type="dxa"/>
            <w:vAlign w:val="center"/>
          </w:tcPr>
          <w:p w:rsidR="00BB0C3B" w:rsidRPr="0014578E" w:rsidRDefault="00BB0C3B" w:rsidP="0014578E">
            <w:pPr>
              <w:widowControl/>
              <w:autoSpaceDE/>
              <w:autoSpaceDN/>
              <w:adjustRightInd/>
              <w:jc w:val="center"/>
              <w:rPr>
                <w:rFonts w:cs="Times New Roman"/>
                <w:b/>
                <w:color w:val="000000"/>
                <w:szCs w:val="24"/>
              </w:rPr>
            </w:pPr>
            <w:r w:rsidRPr="0014578E">
              <w:rPr>
                <w:rFonts w:cs="Times New Roman"/>
                <w:b/>
                <w:color w:val="000000"/>
                <w:szCs w:val="24"/>
              </w:rPr>
              <w:t>%</w:t>
            </w: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b/>
                <w:color w:val="000000"/>
                <w:szCs w:val="24"/>
              </w:rPr>
            </w:pPr>
            <w:r w:rsidRPr="0014578E">
              <w:rPr>
                <w:rFonts w:cs="Times New Roman"/>
                <w:b/>
                <w:color w:val="000000"/>
                <w:szCs w:val="24"/>
              </w:rPr>
              <w:t>Patrimoine non financier</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2 188,8</w:t>
            </w:r>
          </w:p>
        </w:tc>
        <w:tc>
          <w:tcPr>
            <w:tcW w:w="1364" w:type="dxa"/>
          </w:tcPr>
          <w:p w:rsidR="00BB0C3B" w:rsidRPr="0014578E" w:rsidRDefault="00BB0C3B" w:rsidP="0014578E">
            <w:pPr>
              <w:widowControl/>
              <w:autoSpaceDE/>
              <w:autoSpaceDN/>
              <w:adjustRightInd/>
              <w:jc w:val="right"/>
              <w:rPr>
                <w:rFonts w:cs="Times New Roman"/>
                <w:b/>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b/>
                <w:color w:val="000000"/>
                <w:szCs w:val="24"/>
              </w:rPr>
            </w:pPr>
            <w:r w:rsidRPr="0014578E">
              <w:rPr>
                <w:rFonts w:cs="Times New Roman"/>
                <w:b/>
                <w:color w:val="000000"/>
                <w:szCs w:val="24"/>
              </w:rPr>
              <w:t>7 225,1</w:t>
            </w:r>
          </w:p>
        </w:tc>
        <w:tc>
          <w:tcPr>
            <w:tcW w:w="1364" w:type="dxa"/>
            <w:vAlign w:val="center"/>
          </w:tcPr>
          <w:p w:rsidR="00BB0C3B" w:rsidRPr="0014578E" w:rsidRDefault="00BB0C3B" w:rsidP="0014578E">
            <w:pPr>
              <w:widowControl/>
              <w:autoSpaceDE/>
              <w:autoSpaceDN/>
              <w:adjustRightInd/>
              <w:jc w:val="right"/>
              <w:rPr>
                <w:rFonts w:cs="Times New Roman"/>
                <w:b/>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Bâtiments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1 580,9</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3 619,5</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Terrains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466,5</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3 395,7</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Machines et équipements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41,2</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35,5</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Objets de valeur + autres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100,2</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174,4</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p>
        </w:tc>
        <w:tc>
          <w:tcPr>
            <w:tcW w:w="1363" w:type="dxa"/>
            <w:vAlign w:val="center"/>
          </w:tcPr>
          <w:p w:rsidR="00BB0C3B" w:rsidRPr="00BB0C3B" w:rsidRDefault="00BB0C3B" w:rsidP="00BB0C3B">
            <w:pPr>
              <w:jc w:val="right"/>
              <w:rPr>
                <w:rFonts w:cs="Times New Roman"/>
                <w:color w:val="000000"/>
                <w:szCs w:val="24"/>
              </w:rPr>
            </w:pP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b/>
                <w:color w:val="000000"/>
                <w:szCs w:val="24"/>
              </w:rPr>
            </w:pPr>
            <w:r w:rsidRPr="0014578E">
              <w:rPr>
                <w:rFonts w:cs="Times New Roman"/>
                <w:b/>
                <w:color w:val="000000"/>
                <w:szCs w:val="24"/>
              </w:rPr>
              <w:t>Patrimoine financier</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1 745,5</w:t>
            </w:r>
          </w:p>
        </w:tc>
        <w:tc>
          <w:tcPr>
            <w:tcW w:w="1364" w:type="dxa"/>
          </w:tcPr>
          <w:p w:rsidR="00BB0C3B" w:rsidRPr="0014578E" w:rsidRDefault="00BB0C3B" w:rsidP="0014578E">
            <w:pPr>
              <w:widowControl/>
              <w:autoSpaceDE/>
              <w:autoSpaceDN/>
              <w:adjustRightInd/>
              <w:jc w:val="right"/>
              <w:rPr>
                <w:rFonts w:cs="Times New Roman"/>
                <w:b/>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b/>
                <w:color w:val="000000"/>
                <w:szCs w:val="24"/>
              </w:rPr>
            </w:pPr>
            <w:r w:rsidRPr="0014578E">
              <w:rPr>
                <w:rFonts w:cs="Times New Roman"/>
                <w:b/>
                <w:color w:val="000000"/>
                <w:szCs w:val="24"/>
              </w:rPr>
              <w:t>4 758,8</w:t>
            </w:r>
          </w:p>
        </w:tc>
        <w:tc>
          <w:tcPr>
            <w:tcW w:w="1364" w:type="dxa"/>
            <w:vAlign w:val="center"/>
          </w:tcPr>
          <w:p w:rsidR="00BB0C3B" w:rsidRPr="0014578E" w:rsidRDefault="00BB0C3B" w:rsidP="0014578E">
            <w:pPr>
              <w:widowControl/>
              <w:autoSpaceDE/>
              <w:autoSpaceDN/>
              <w:adjustRightInd/>
              <w:jc w:val="right"/>
              <w:rPr>
                <w:rFonts w:cs="Times New Roman"/>
                <w:b/>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Numéraire et comptes de dépôts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672,7</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1 314,6</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Titres de créances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136,1</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95,6</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Actions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487,7</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1 337,8</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r w:rsidRPr="0014578E">
              <w:rPr>
                <w:rFonts w:cs="Times New Roman"/>
                <w:color w:val="000000"/>
                <w:szCs w:val="24"/>
              </w:rPr>
              <w:t>Assurances + autres</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449,1</w:t>
            </w: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r w:rsidRPr="0014578E">
              <w:rPr>
                <w:rFonts w:cs="Times New Roman"/>
                <w:color w:val="000000"/>
                <w:szCs w:val="24"/>
              </w:rPr>
              <w:t>2 010,9</w:t>
            </w: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color w:val="000000"/>
                <w:szCs w:val="24"/>
              </w:rPr>
            </w:pPr>
          </w:p>
        </w:tc>
        <w:tc>
          <w:tcPr>
            <w:tcW w:w="1363" w:type="dxa"/>
            <w:vAlign w:val="center"/>
          </w:tcPr>
          <w:p w:rsidR="00BB0C3B" w:rsidRPr="00BB0C3B" w:rsidRDefault="00BB0C3B" w:rsidP="00BB0C3B">
            <w:pPr>
              <w:jc w:val="right"/>
              <w:rPr>
                <w:rFonts w:cs="Times New Roman"/>
                <w:color w:val="000000"/>
                <w:szCs w:val="24"/>
              </w:rPr>
            </w:pPr>
          </w:p>
        </w:tc>
        <w:tc>
          <w:tcPr>
            <w:tcW w:w="1364" w:type="dxa"/>
          </w:tcPr>
          <w:p w:rsidR="00BB0C3B" w:rsidRPr="0014578E" w:rsidRDefault="00BB0C3B" w:rsidP="0014578E">
            <w:pPr>
              <w:widowControl/>
              <w:autoSpaceDE/>
              <w:autoSpaceDN/>
              <w:adjustRightInd/>
              <w:jc w:val="right"/>
              <w:rPr>
                <w:rFonts w:cs="Times New Roman"/>
                <w:color w:val="000000"/>
                <w:szCs w:val="24"/>
              </w:rPr>
            </w:pP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color w:val="000000"/>
                <w:szCs w:val="24"/>
              </w:rPr>
            </w:pPr>
          </w:p>
        </w:tc>
        <w:tc>
          <w:tcPr>
            <w:tcW w:w="1364" w:type="dxa"/>
            <w:vAlign w:val="center"/>
          </w:tcPr>
          <w:p w:rsidR="00BB0C3B" w:rsidRPr="0014578E" w:rsidRDefault="00BB0C3B" w:rsidP="0014578E">
            <w:pPr>
              <w:widowControl/>
              <w:autoSpaceDE/>
              <w:autoSpaceDN/>
              <w:adjustRightInd/>
              <w:jc w:val="right"/>
              <w:rPr>
                <w:rFonts w:cs="Times New Roman"/>
                <w:color w:val="000000"/>
                <w:szCs w:val="24"/>
              </w:rPr>
            </w:pPr>
          </w:p>
        </w:tc>
      </w:tr>
      <w:tr w:rsidR="00BB0C3B" w:rsidRPr="0014578E" w:rsidTr="00BB0C3B">
        <w:trPr>
          <w:trHeight w:val="300"/>
          <w:jc w:val="center"/>
        </w:trPr>
        <w:tc>
          <w:tcPr>
            <w:tcW w:w="3699" w:type="dxa"/>
            <w:shd w:val="clear" w:color="auto" w:fill="auto"/>
            <w:noWrap/>
            <w:vAlign w:val="center"/>
            <w:hideMark/>
          </w:tcPr>
          <w:p w:rsidR="00BB0C3B" w:rsidRPr="0014578E" w:rsidRDefault="00BB0C3B" w:rsidP="0014578E">
            <w:pPr>
              <w:widowControl/>
              <w:autoSpaceDE/>
              <w:autoSpaceDN/>
              <w:adjustRightInd/>
              <w:jc w:val="left"/>
              <w:rPr>
                <w:rFonts w:cs="Times New Roman"/>
                <w:b/>
                <w:color w:val="000000"/>
                <w:szCs w:val="24"/>
              </w:rPr>
            </w:pPr>
            <w:r w:rsidRPr="0014578E">
              <w:rPr>
                <w:rFonts w:cs="Times New Roman"/>
                <w:b/>
                <w:color w:val="000000"/>
                <w:szCs w:val="24"/>
              </w:rPr>
              <w:t>Patrimoine brut total</w:t>
            </w:r>
          </w:p>
        </w:tc>
        <w:tc>
          <w:tcPr>
            <w:tcW w:w="1363" w:type="dxa"/>
            <w:vAlign w:val="center"/>
          </w:tcPr>
          <w:p w:rsidR="00BB0C3B" w:rsidRPr="00BB0C3B" w:rsidRDefault="00BB0C3B" w:rsidP="00BB0C3B">
            <w:pPr>
              <w:jc w:val="right"/>
              <w:rPr>
                <w:rFonts w:cs="Times New Roman"/>
                <w:color w:val="000000"/>
                <w:szCs w:val="24"/>
              </w:rPr>
            </w:pPr>
            <w:r w:rsidRPr="00BB0C3B">
              <w:rPr>
                <w:rFonts w:cs="Times New Roman"/>
                <w:color w:val="000000"/>
                <w:szCs w:val="24"/>
              </w:rPr>
              <w:t>3 934,4</w:t>
            </w:r>
          </w:p>
        </w:tc>
        <w:tc>
          <w:tcPr>
            <w:tcW w:w="1364" w:type="dxa"/>
          </w:tcPr>
          <w:p w:rsidR="00BB0C3B" w:rsidRPr="0014578E" w:rsidRDefault="00BB0C3B" w:rsidP="0014578E">
            <w:pPr>
              <w:widowControl/>
              <w:autoSpaceDE/>
              <w:autoSpaceDN/>
              <w:adjustRightInd/>
              <w:jc w:val="right"/>
              <w:rPr>
                <w:rFonts w:cs="Times New Roman"/>
                <w:b/>
                <w:color w:val="000000"/>
                <w:szCs w:val="24"/>
              </w:rPr>
            </w:pPr>
            <w:r>
              <w:rPr>
                <w:rFonts w:cs="Times New Roman"/>
                <w:b/>
                <w:color w:val="000000"/>
                <w:szCs w:val="24"/>
              </w:rPr>
              <w:t>100,0</w:t>
            </w:r>
          </w:p>
        </w:tc>
        <w:tc>
          <w:tcPr>
            <w:tcW w:w="1363" w:type="dxa"/>
            <w:shd w:val="clear" w:color="auto" w:fill="auto"/>
            <w:noWrap/>
            <w:vAlign w:val="center"/>
            <w:hideMark/>
          </w:tcPr>
          <w:p w:rsidR="00BB0C3B" w:rsidRPr="0014578E" w:rsidRDefault="00BB0C3B" w:rsidP="0014578E">
            <w:pPr>
              <w:widowControl/>
              <w:autoSpaceDE/>
              <w:autoSpaceDN/>
              <w:adjustRightInd/>
              <w:jc w:val="right"/>
              <w:rPr>
                <w:rFonts w:cs="Times New Roman"/>
                <w:b/>
                <w:color w:val="000000"/>
                <w:szCs w:val="24"/>
              </w:rPr>
            </w:pPr>
            <w:r w:rsidRPr="0014578E">
              <w:rPr>
                <w:rFonts w:cs="Times New Roman"/>
                <w:b/>
                <w:color w:val="000000"/>
                <w:szCs w:val="24"/>
              </w:rPr>
              <w:t>11 983,9</w:t>
            </w:r>
          </w:p>
        </w:tc>
        <w:tc>
          <w:tcPr>
            <w:tcW w:w="1364" w:type="dxa"/>
            <w:vAlign w:val="center"/>
          </w:tcPr>
          <w:p w:rsidR="00BB0C3B" w:rsidRPr="0014578E" w:rsidRDefault="00BB0C3B" w:rsidP="0014578E">
            <w:pPr>
              <w:widowControl/>
              <w:autoSpaceDE/>
              <w:autoSpaceDN/>
              <w:adjustRightInd/>
              <w:jc w:val="right"/>
              <w:rPr>
                <w:rFonts w:cs="Times New Roman"/>
                <w:b/>
                <w:color w:val="000000"/>
                <w:szCs w:val="24"/>
              </w:rPr>
            </w:pPr>
            <w:r w:rsidRPr="0014578E">
              <w:rPr>
                <w:rFonts w:cs="Times New Roman"/>
                <w:b/>
                <w:color w:val="000000"/>
                <w:szCs w:val="24"/>
              </w:rPr>
              <w:t>100,0</w:t>
            </w:r>
          </w:p>
        </w:tc>
      </w:tr>
    </w:tbl>
    <w:p w:rsidR="0014578E" w:rsidRDefault="0014578E" w:rsidP="00144695"/>
    <w:p w:rsidR="0014578E" w:rsidRPr="0014578E" w:rsidRDefault="0014578E" w:rsidP="0014578E">
      <w:pPr>
        <w:jc w:val="right"/>
        <w:rPr>
          <w:b/>
        </w:rPr>
      </w:pPr>
      <w:r w:rsidRPr="0014578E">
        <w:rPr>
          <w:b/>
        </w:rPr>
        <w:t xml:space="preserve">INSEE : </w:t>
      </w:r>
      <w:hyperlink r:id="rId12" w:history="1">
        <w:r w:rsidRPr="0014578E">
          <w:rPr>
            <w:rStyle w:val="Lienhypertexte"/>
            <w:b/>
          </w:rPr>
          <w:t>Comptes nationaux (tableau 8.210)</w:t>
        </w:r>
      </w:hyperlink>
    </w:p>
    <w:p w:rsidR="0014578E" w:rsidRDefault="0014578E" w:rsidP="00144695"/>
    <w:p w:rsidR="0014578E" w:rsidRDefault="0014578E" w:rsidP="0014578E">
      <w:pPr>
        <w:pStyle w:val="Paragraphedeliste"/>
        <w:numPr>
          <w:ilvl w:val="0"/>
          <w:numId w:val="22"/>
        </w:numPr>
      </w:pPr>
      <w:r>
        <w:t>Remplissez l</w:t>
      </w:r>
      <w:r w:rsidR="00BB0C3B">
        <w:t>es</w:t>
      </w:r>
      <w:r>
        <w:t xml:space="preserve"> colonne</w:t>
      </w:r>
      <w:r w:rsidR="00BB0C3B">
        <w:t>s</w:t>
      </w:r>
      <w:r>
        <w:t xml:space="preserve"> « % » du document.</w:t>
      </w:r>
    </w:p>
    <w:p w:rsidR="0014578E" w:rsidRDefault="0014578E" w:rsidP="0014578E">
      <w:pPr>
        <w:pStyle w:val="Paragraphedeliste"/>
        <w:numPr>
          <w:ilvl w:val="0"/>
          <w:numId w:val="22"/>
        </w:numPr>
      </w:pPr>
      <w:r>
        <w:t>Quelles sont les principales formes de patrimoine détenues par les ménages</w:t>
      </w:r>
      <w:r w:rsidR="00BB0C3B">
        <w:t xml:space="preserve"> en 2015</w:t>
      </w:r>
      <w:r>
        <w:t> ?</w:t>
      </w:r>
    </w:p>
    <w:p w:rsidR="00A44BC7" w:rsidRDefault="00A44BC7" w:rsidP="0014578E">
      <w:pPr>
        <w:pStyle w:val="Paragraphedeliste"/>
        <w:numPr>
          <w:ilvl w:val="0"/>
          <w:numId w:val="22"/>
        </w:numPr>
      </w:pPr>
      <w:r>
        <w:t>Quelles sont les principales modifications dans la structure du patrimoine des ménages depuis 1995 ?</w:t>
      </w:r>
    </w:p>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A44BC7" w:rsidRPr="00A44BC7" w:rsidRDefault="00A44BC7" w:rsidP="00A44BC7">
      <w:pPr>
        <w:jc w:val="center"/>
        <w:rPr>
          <w:b/>
        </w:rPr>
      </w:pPr>
      <w:r w:rsidRPr="00A44BC7">
        <w:rPr>
          <w:b/>
        </w:rPr>
        <w:t>Distribution du patrimoine des ménages en 2015</w:t>
      </w:r>
      <w:r>
        <w:rPr>
          <w:b/>
        </w:rPr>
        <w:t xml:space="preserve"> (en €)</w:t>
      </w:r>
    </w:p>
    <w:tbl>
      <w:tblPr>
        <w:tblW w:w="4975"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7"/>
        <w:gridCol w:w="1287"/>
        <w:gridCol w:w="1701"/>
      </w:tblGrid>
      <w:tr w:rsidR="00A44BC7" w:rsidRPr="00A44BC7" w:rsidTr="00A44BC7">
        <w:trPr>
          <w:trHeight w:val="510"/>
          <w:jc w:val="center"/>
        </w:trPr>
        <w:tc>
          <w:tcPr>
            <w:tcW w:w="1987" w:type="dxa"/>
            <w:shd w:val="clear" w:color="auto" w:fill="auto"/>
            <w:noWrap/>
            <w:vAlign w:val="center"/>
            <w:hideMark/>
          </w:tcPr>
          <w:p w:rsidR="00A44BC7" w:rsidRPr="00A44BC7" w:rsidRDefault="00A44BC7" w:rsidP="00A44BC7">
            <w:pPr>
              <w:widowControl/>
              <w:autoSpaceDE/>
              <w:autoSpaceDN/>
              <w:adjustRightInd/>
              <w:jc w:val="center"/>
              <w:rPr>
                <w:rFonts w:cs="Times New Roman"/>
                <w:b/>
                <w:bCs/>
                <w:szCs w:val="24"/>
              </w:rPr>
            </w:pPr>
            <w:r w:rsidRPr="00A44BC7">
              <w:rPr>
                <w:rFonts w:cs="Times New Roman"/>
                <w:b/>
                <w:bCs/>
                <w:szCs w:val="24"/>
              </w:rPr>
              <w:t>Déciles</w:t>
            </w:r>
          </w:p>
        </w:tc>
        <w:tc>
          <w:tcPr>
            <w:tcW w:w="1287" w:type="dxa"/>
            <w:shd w:val="clear" w:color="auto" w:fill="auto"/>
            <w:vAlign w:val="center"/>
            <w:hideMark/>
          </w:tcPr>
          <w:p w:rsidR="00A44BC7" w:rsidRPr="00A44BC7" w:rsidRDefault="00A44BC7" w:rsidP="00A44BC7">
            <w:pPr>
              <w:widowControl/>
              <w:autoSpaceDE/>
              <w:autoSpaceDN/>
              <w:adjustRightInd/>
              <w:jc w:val="center"/>
              <w:rPr>
                <w:rFonts w:cs="Times New Roman"/>
                <w:b/>
                <w:bCs/>
                <w:szCs w:val="24"/>
              </w:rPr>
            </w:pPr>
            <w:r w:rsidRPr="00A44BC7">
              <w:rPr>
                <w:rFonts w:cs="Times New Roman"/>
                <w:b/>
                <w:bCs/>
                <w:szCs w:val="24"/>
              </w:rPr>
              <w:t>Patrimoine brut</w:t>
            </w:r>
          </w:p>
        </w:tc>
        <w:tc>
          <w:tcPr>
            <w:tcW w:w="1701" w:type="dxa"/>
            <w:shd w:val="clear" w:color="auto" w:fill="auto"/>
            <w:vAlign w:val="center"/>
            <w:hideMark/>
          </w:tcPr>
          <w:p w:rsidR="00A44BC7" w:rsidRPr="00A44BC7" w:rsidRDefault="00A44BC7" w:rsidP="00A44BC7">
            <w:pPr>
              <w:widowControl/>
              <w:autoSpaceDE/>
              <w:autoSpaceDN/>
              <w:adjustRightInd/>
              <w:jc w:val="center"/>
              <w:rPr>
                <w:rFonts w:cs="Times New Roman"/>
                <w:b/>
                <w:bCs/>
                <w:szCs w:val="24"/>
              </w:rPr>
            </w:pPr>
            <w:r w:rsidRPr="00A44BC7">
              <w:rPr>
                <w:rFonts w:cs="Times New Roman"/>
                <w:b/>
                <w:bCs/>
                <w:szCs w:val="24"/>
              </w:rPr>
              <w:t>Patrimoine</w:t>
            </w:r>
            <w:r w:rsidRPr="00A44BC7">
              <w:rPr>
                <w:rFonts w:cs="Times New Roman"/>
                <w:b/>
                <w:bCs/>
                <w:szCs w:val="24"/>
              </w:rPr>
              <w:br/>
              <w:t>net</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1er décile (D1)</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4 300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3 000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2ème décile (D2)</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12 900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10 100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3ème décile (D3)</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34 100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27 800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4ème décile (D4)</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94 900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65 300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Médiane</w:t>
            </w:r>
            <w:r>
              <w:rPr>
                <w:rFonts w:cs="Times New Roman"/>
                <w:szCs w:val="24"/>
              </w:rPr>
              <w:t xml:space="preserve"> (D5)</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158 000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113 900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6ème décile (D6)</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215 800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170 100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7ème décile (D7)</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278 000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235 600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8ème décile (D8)</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374 500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332 200</w:t>
            </w:r>
          </w:p>
        </w:tc>
      </w:tr>
      <w:tr w:rsidR="00A44BC7" w:rsidRPr="00A44BC7" w:rsidTr="00A44BC7">
        <w:trPr>
          <w:trHeight w:val="300"/>
          <w:jc w:val="center"/>
        </w:trPr>
        <w:tc>
          <w:tcPr>
            <w:tcW w:w="1987" w:type="dxa"/>
            <w:shd w:val="clear" w:color="auto" w:fill="auto"/>
            <w:noWrap/>
            <w:vAlign w:val="center"/>
            <w:hideMark/>
          </w:tcPr>
          <w:p w:rsidR="00A44BC7" w:rsidRPr="00A44BC7" w:rsidRDefault="00A44BC7" w:rsidP="00A44BC7">
            <w:pPr>
              <w:widowControl/>
              <w:autoSpaceDE/>
              <w:autoSpaceDN/>
              <w:adjustRightInd/>
              <w:jc w:val="left"/>
              <w:rPr>
                <w:rFonts w:cs="Times New Roman"/>
                <w:szCs w:val="24"/>
              </w:rPr>
            </w:pPr>
            <w:r w:rsidRPr="00A44BC7">
              <w:rPr>
                <w:rFonts w:cs="Times New Roman"/>
                <w:szCs w:val="24"/>
              </w:rPr>
              <w:t>9ème décile (D9)</w:t>
            </w:r>
          </w:p>
        </w:tc>
        <w:tc>
          <w:tcPr>
            <w:tcW w:w="1287"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595 700</w:t>
            </w:r>
          </w:p>
        </w:tc>
        <w:tc>
          <w:tcPr>
            <w:tcW w:w="1701" w:type="dxa"/>
            <w:shd w:val="clear" w:color="auto" w:fill="auto"/>
            <w:noWrap/>
            <w:vAlign w:val="center"/>
            <w:hideMark/>
          </w:tcPr>
          <w:p w:rsidR="00A44BC7" w:rsidRPr="00A44BC7" w:rsidRDefault="00A44BC7" w:rsidP="00A44BC7">
            <w:pPr>
              <w:widowControl/>
              <w:autoSpaceDE/>
              <w:autoSpaceDN/>
              <w:adjustRightInd/>
              <w:jc w:val="right"/>
              <w:rPr>
                <w:rFonts w:cs="Times New Roman"/>
                <w:szCs w:val="24"/>
              </w:rPr>
            </w:pPr>
            <w:r w:rsidRPr="00A44BC7">
              <w:rPr>
                <w:rFonts w:cs="Times New Roman"/>
                <w:szCs w:val="24"/>
              </w:rPr>
              <w:t>534 800</w:t>
            </w:r>
          </w:p>
        </w:tc>
      </w:tr>
    </w:tbl>
    <w:p w:rsidR="00A44BC7" w:rsidRDefault="00A44BC7" w:rsidP="00A44BC7"/>
    <w:p w:rsidR="00A44BC7" w:rsidRPr="00A44BC7" w:rsidRDefault="00A44BC7" w:rsidP="00A44BC7">
      <w:pPr>
        <w:jc w:val="right"/>
        <w:rPr>
          <w:b/>
        </w:rPr>
      </w:pPr>
      <w:r w:rsidRPr="00A44BC7">
        <w:rPr>
          <w:b/>
        </w:rPr>
        <w:t xml:space="preserve">INSEE : </w:t>
      </w:r>
      <w:hyperlink r:id="rId13" w:history="1">
        <w:r w:rsidRPr="00A44BC7">
          <w:rPr>
            <w:rStyle w:val="Lienhypertexte"/>
            <w:b/>
          </w:rPr>
          <w:t>Distribution du patrimoine des ménages en 2015</w:t>
        </w:r>
      </w:hyperlink>
      <w:r w:rsidRPr="00A44BC7">
        <w:rPr>
          <w:b/>
        </w:rPr>
        <w:t xml:space="preserve"> </w:t>
      </w:r>
    </w:p>
    <w:p w:rsidR="00A44BC7" w:rsidRDefault="00A44BC7" w:rsidP="00A44BC7"/>
    <w:p w:rsidR="00A44BC7" w:rsidRDefault="00A44BC7" w:rsidP="00A44BC7">
      <w:r>
        <w:t>Note : les déciles permettent de partager une population en 10 groupes représentant chacun 10% de la population. Ainsi D1 est ici la valeur du patrimoine telle que 10% des ménages disposaient en 2015 d’un patrimoine inférieur à cette valeur et donc que 90% des ménages disposaient d’un patrimoine supérieur à D1.</w:t>
      </w:r>
    </w:p>
    <w:p w:rsidR="00A44BC7" w:rsidRDefault="00A44BC7" w:rsidP="00A44BC7"/>
    <w:p w:rsidR="00A44BC7" w:rsidRDefault="00A44BC7" w:rsidP="00A44BC7">
      <w:pPr>
        <w:pStyle w:val="Paragraphedeliste"/>
        <w:numPr>
          <w:ilvl w:val="0"/>
          <w:numId w:val="23"/>
        </w:numPr>
      </w:pPr>
      <w:r>
        <w:t>Faites une phrase avec les valeurs de la dernière ligne du document.</w:t>
      </w:r>
    </w:p>
    <w:p w:rsidR="00A44BC7" w:rsidRDefault="00E604EC" w:rsidP="00A44BC7">
      <w:pPr>
        <w:pStyle w:val="Paragraphedeliste"/>
        <w:numPr>
          <w:ilvl w:val="0"/>
          <w:numId w:val="23"/>
        </w:numPr>
      </w:pPr>
      <w:r>
        <w:t>Expliquez pourquoi le patrimoine net est plus faible que le patrimoine brut.</w:t>
      </w:r>
    </w:p>
    <w:p w:rsidR="00E604EC" w:rsidRDefault="00E604EC" w:rsidP="00A44BC7">
      <w:pPr>
        <w:pStyle w:val="Paragraphedeliste"/>
        <w:numPr>
          <w:ilvl w:val="0"/>
          <w:numId w:val="23"/>
        </w:numPr>
      </w:pPr>
      <w:r>
        <w:t>L’écart entre la valeur du patrimoine brut et la valeur du patrimoine net est-il plus important parmi les ménages les plus pauvres ou les ménages les plus riches ? (Justifiez votre réponse par des calculs).</w:t>
      </w:r>
    </w:p>
    <w:p w:rsidR="00FC6511" w:rsidRPr="00A44BC7" w:rsidRDefault="00FC6511" w:rsidP="00A44BC7">
      <w:pPr>
        <w:pStyle w:val="NormalWeb"/>
        <w:numPr>
          <w:ilvl w:val="0"/>
          <w:numId w:val="23"/>
        </w:numPr>
        <w:spacing w:before="0" w:beforeAutospacing="0" w:after="0" w:afterAutospacing="0"/>
        <w:jc w:val="both"/>
        <w:textAlignment w:val="baseline"/>
      </w:pPr>
      <w:r w:rsidRPr="00FC6511">
        <w:rPr>
          <w:color w:val="000000"/>
        </w:rPr>
        <w:t>Mesurez les inégalités de patrimoine entre les plus riches et les moins riches.</w:t>
      </w:r>
    </w:p>
    <w:p w:rsidR="00E42B85" w:rsidRDefault="00E42B85" w:rsidP="00A44BC7">
      <w:pPr>
        <w:widowControl/>
        <w:autoSpaceDE/>
        <w:autoSpaceDN/>
        <w:adjustRightInd/>
        <w:spacing w:after="200" w:line="276" w:lineRule="auto"/>
        <w:jc w:val="left"/>
      </w:pPr>
      <w:r>
        <w:br w:type="page"/>
      </w:r>
    </w:p>
    <w:p w:rsidR="00173D16" w:rsidRPr="009738DB" w:rsidRDefault="00173D16" w:rsidP="00173D16">
      <w:pPr>
        <w:widowControl/>
        <w:autoSpaceDE/>
        <w:autoSpaceDN/>
        <w:adjustRightInd/>
        <w:rPr>
          <w:rFonts w:cs="Times New Roman"/>
          <w:szCs w:val="24"/>
        </w:rPr>
      </w:pPr>
      <w:r w:rsidRPr="009738DB">
        <w:rPr>
          <w:rFonts w:cs="Times New Roman"/>
          <w:b/>
          <w:bCs/>
          <w:color w:val="000000"/>
          <w:szCs w:val="24"/>
          <w:u w:val="single"/>
        </w:rPr>
        <w:lastRenderedPageBreak/>
        <w:t>Travail final évalué :</w:t>
      </w:r>
    </w:p>
    <w:p w:rsidR="00173D16" w:rsidRDefault="00173D16" w:rsidP="00173D16">
      <w:pPr>
        <w:widowControl/>
        <w:autoSpaceDE/>
        <w:autoSpaceDN/>
        <w:adjustRightInd/>
        <w:rPr>
          <w:rFonts w:cs="Times New Roman"/>
          <w:b/>
          <w:bCs/>
          <w:color w:val="000000"/>
          <w:szCs w:val="24"/>
        </w:rPr>
      </w:pPr>
    </w:p>
    <w:p w:rsidR="00173D16" w:rsidRPr="00173D16" w:rsidRDefault="00173D16" w:rsidP="00173D16">
      <w:pPr>
        <w:widowControl/>
        <w:autoSpaceDE/>
        <w:autoSpaceDN/>
        <w:adjustRightInd/>
        <w:rPr>
          <w:rFonts w:cs="Times New Roman"/>
          <w:szCs w:val="24"/>
        </w:rPr>
      </w:pPr>
      <w:r w:rsidRPr="00173D16">
        <w:rPr>
          <w:rFonts w:cs="Times New Roman"/>
          <w:b/>
          <w:bCs/>
          <w:color w:val="000000"/>
          <w:szCs w:val="24"/>
        </w:rPr>
        <w:t>Vous répondrez aux questions suivantes en vous aidant de la vidéo en ligne et de vos réponses aux questions portant sur les documents précédents.</w:t>
      </w:r>
    </w:p>
    <w:p w:rsidR="00173D16" w:rsidRPr="00173D16" w:rsidRDefault="00173D16" w:rsidP="00173D16">
      <w:pPr>
        <w:widowControl/>
        <w:autoSpaceDE/>
        <w:autoSpaceDN/>
        <w:adjustRightInd/>
        <w:rPr>
          <w:rFonts w:cs="Times New Roman"/>
          <w:szCs w:val="24"/>
        </w:rPr>
      </w:pPr>
      <w:r w:rsidRPr="00173D16">
        <w:rPr>
          <w:rFonts w:cs="Times New Roman"/>
          <w:b/>
          <w:bCs/>
          <w:color w:val="000000"/>
          <w:szCs w:val="24"/>
        </w:rPr>
        <w:t>Vous justifierez à chaque fois vos réponses.</w:t>
      </w:r>
    </w:p>
    <w:p w:rsidR="00173D16" w:rsidRPr="00173D16" w:rsidRDefault="00173D16" w:rsidP="00173D16">
      <w:pPr>
        <w:widowControl/>
        <w:autoSpaceDE/>
        <w:autoSpaceDN/>
        <w:adjustRightInd/>
        <w:jc w:val="left"/>
        <w:rPr>
          <w:rFonts w:cs="Times New Roman"/>
          <w:szCs w:val="24"/>
        </w:rPr>
      </w:pPr>
    </w:p>
    <w:p w:rsidR="00173D16" w:rsidRPr="00173D16" w:rsidRDefault="00173D16" w:rsidP="00173D16">
      <w:pPr>
        <w:widowControl/>
        <w:numPr>
          <w:ilvl w:val="0"/>
          <w:numId w:val="26"/>
        </w:numPr>
        <w:autoSpaceDE/>
        <w:autoSpaceDN/>
        <w:adjustRightInd/>
        <w:textAlignment w:val="baseline"/>
        <w:rPr>
          <w:rFonts w:cs="Times New Roman"/>
          <w:b/>
          <w:bCs/>
          <w:color w:val="000000"/>
          <w:szCs w:val="24"/>
        </w:rPr>
      </w:pPr>
      <w:r w:rsidRPr="00173D16">
        <w:rPr>
          <w:rFonts w:cs="Times New Roman"/>
          <w:b/>
          <w:bCs/>
          <w:color w:val="000000"/>
          <w:szCs w:val="24"/>
        </w:rPr>
        <w:t>Comment a évolué l’épargne des ménages et son utilisation depuis 1950 en France ?</w:t>
      </w:r>
    </w:p>
    <w:p w:rsidR="00173D16" w:rsidRPr="00173D16" w:rsidRDefault="00173D16" w:rsidP="00173D16">
      <w:pPr>
        <w:widowControl/>
        <w:numPr>
          <w:ilvl w:val="0"/>
          <w:numId w:val="26"/>
        </w:numPr>
        <w:autoSpaceDE/>
        <w:autoSpaceDN/>
        <w:adjustRightInd/>
        <w:textAlignment w:val="baseline"/>
        <w:rPr>
          <w:rFonts w:cs="Times New Roman"/>
          <w:b/>
          <w:bCs/>
          <w:color w:val="000000"/>
          <w:szCs w:val="24"/>
        </w:rPr>
      </w:pPr>
      <w:r w:rsidRPr="00173D16">
        <w:rPr>
          <w:rFonts w:cs="Times New Roman"/>
          <w:b/>
          <w:bCs/>
          <w:color w:val="000000"/>
          <w:szCs w:val="24"/>
        </w:rPr>
        <w:t>Pour quelles raisons les ménages épargnent-ils ?</w:t>
      </w:r>
    </w:p>
    <w:p w:rsidR="00173D16" w:rsidRPr="00173D16" w:rsidRDefault="00173D16" w:rsidP="00173D16">
      <w:pPr>
        <w:widowControl/>
        <w:numPr>
          <w:ilvl w:val="0"/>
          <w:numId w:val="26"/>
        </w:numPr>
        <w:autoSpaceDE/>
        <w:autoSpaceDN/>
        <w:adjustRightInd/>
        <w:textAlignment w:val="baseline"/>
        <w:rPr>
          <w:rFonts w:cs="Times New Roman"/>
          <w:b/>
          <w:bCs/>
          <w:color w:val="000000"/>
          <w:szCs w:val="24"/>
        </w:rPr>
      </w:pPr>
      <w:r w:rsidRPr="00173D16">
        <w:rPr>
          <w:rFonts w:cs="Times New Roman"/>
          <w:b/>
          <w:bCs/>
          <w:color w:val="000000"/>
          <w:szCs w:val="24"/>
        </w:rPr>
        <w:t>Quelle relation pouvez-vous établir entre l’épargne des ménages et leur patrimoine ?</w:t>
      </w:r>
    </w:p>
    <w:p w:rsidR="00173D16" w:rsidRPr="00173D16" w:rsidRDefault="00173D16" w:rsidP="00173D16">
      <w:pPr>
        <w:widowControl/>
        <w:numPr>
          <w:ilvl w:val="0"/>
          <w:numId w:val="26"/>
        </w:numPr>
        <w:autoSpaceDE/>
        <w:autoSpaceDN/>
        <w:adjustRightInd/>
        <w:textAlignment w:val="baseline"/>
        <w:rPr>
          <w:rFonts w:cs="Times New Roman"/>
          <w:b/>
          <w:bCs/>
          <w:color w:val="000000"/>
          <w:szCs w:val="24"/>
        </w:rPr>
      </w:pPr>
      <w:r w:rsidRPr="00173D16">
        <w:rPr>
          <w:rFonts w:cs="Times New Roman"/>
          <w:b/>
          <w:bCs/>
          <w:color w:val="000000"/>
          <w:szCs w:val="24"/>
        </w:rPr>
        <w:t>Comment a évolué la structure du patrimoine des ménages ces 20 dernières années ?</w:t>
      </w:r>
    </w:p>
    <w:p w:rsidR="00173D16" w:rsidRPr="00173D16" w:rsidRDefault="00173D16" w:rsidP="00173D16">
      <w:pPr>
        <w:widowControl/>
        <w:numPr>
          <w:ilvl w:val="0"/>
          <w:numId w:val="26"/>
        </w:numPr>
        <w:autoSpaceDE/>
        <w:autoSpaceDN/>
        <w:adjustRightInd/>
        <w:textAlignment w:val="baseline"/>
        <w:rPr>
          <w:rFonts w:cs="Times New Roman"/>
          <w:b/>
          <w:bCs/>
          <w:color w:val="000000"/>
          <w:szCs w:val="24"/>
        </w:rPr>
      </w:pPr>
      <w:r w:rsidRPr="00173D16">
        <w:rPr>
          <w:rFonts w:cs="Times New Roman"/>
          <w:b/>
          <w:bCs/>
          <w:color w:val="000000"/>
          <w:szCs w:val="24"/>
        </w:rPr>
        <w:t>Comment peut-on expliquer les inégalités de patrimoine des ménages ?</w:t>
      </w:r>
    </w:p>
    <w:p w:rsidR="00173D16" w:rsidRDefault="00173D16" w:rsidP="00E42B85">
      <w:pPr>
        <w:rPr>
          <w:b/>
          <w:u w:val="single"/>
        </w:rPr>
      </w:pPr>
    </w:p>
    <w:p w:rsidR="00173D16" w:rsidRDefault="00173D16" w:rsidP="00E42B85">
      <w:pPr>
        <w:rPr>
          <w:b/>
          <w:u w:val="single"/>
        </w:rPr>
      </w:pPr>
    </w:p>
    <w:p w:rsidR="00173D16" w:rsidRDefault="00173D16">
      <w:pPr>
        <w:widowControl/>
        <w:autoSpaceDE/>
        <w:autoSpaceDN/>
        <w:adjustRightInd/>
        <w:spacing w:after="200" w:line="276" w:lineRule="auto"/>
        <w:jc w:val="left"/>
        <w:rPr>
          <w:b/>
          <w:u w:val="single"/>
        </w:rPr>
      </w:pPr>
      <w:r>
        <w:rPr>
          <w:b/>
          <w:u w:val="single"/>
        </w:rP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3D4DA7" w:rsidRPr="003D4DA7" w:rsidRDefault="003D4DA7" w:rsidP="003D4DA7"/>
    <w:p w:rsidR="003D4DA7" w:rsidRPr="003D4DA7" w:rsidRDefault="003D4DA7" w:rsidP="003D4DA7">
      <w:r>
        <w:rPr>
          <w:noProof/>
        </w:rPr>
        <w:drawing>
          <wp:inline distT="0" distB="0" distL="0" distR="0">
            <wp:extent cx="5613400" cy="7044690"/>
            <wp:effectExtent l="1905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613400" cy="7044690"/>
                    </a:xfrm>
                    <a:prstGeom prst="rect">
                      <a:avLst/>
                    </a:prstGeom>
                    <a:noFill/>
                    <a:ln w="9525">
                      <a:noFill/>
                      <a:miter lim="800000"/>
                      <a:headEnd/>
                      <a:tailEnd/>
                    </a:ln>
                  </pic:spPr>
                </pic:pic>
              </a:graphicData>
            </a:graphic>
          </wp:inline>
        </w:drawing>
      </w:r>
    </w:p>
    <w:p w:rsidR="00E01448" w:rsidRPr="00E01448" w:rsidRDefault="00E01448" w:rsidP="00E01448">
      <w:pPr>
        <w:jc w:val="right"/>
        <w:rPr>
          <w:b/>
        </w:rPr>
      </w:pPr>
      <w:r w:rsidRPr="00E01448">
        <w:rPr>
          <w:b/>
        </w:rPr>
        <w:t xml:space="preserve">INSEE : </w:t>
      </w:r>
      <w:hyperlink r:id="rId15" w:history="1">
        <w:r w:rsidRPr="00E01448">
          <w:rPr>
            <w:rStyle w:val="Lienhypertexte"/>
            <w:b/>
          </w:rPr>
          <w:t>Taux de détention des actifs de patrimoine par les ménages selon différentes caractéristiques en 2015</w:t>
        </w:r>
      </w:hyperlink>
    </w:p>
    <w:p w:rsidR="003D4DA7" w:rsidRDefault="003D4DA7" w:rsidP="003D4DA7"/>
    <w:p w:rsidR="00E01448" w:rsidRDefault="00E01448" w:rsidP="00E01448">
      <w:pPr>
        <w:pStyle w:val="Paragraphedeliste"/>
        <w:numPr>
          <w:ilvl w:val="0"/>
          <w:numId w:val="24"/>
        </w:numPr>
      </w:pPr>
      <w:r>
        <w:t>Comment peut-on calculer un taux de détention d’un actif de patrimoine ?</w:t>
      </w:r>
    </w:p>
    <w:p w:rsidR="00E01448" w:rsidRDefault="00E01448" w:rsidP="00E01448">
      <w:pPr>
        <w:pStyle w:val="Paragraphedeliste"/>
        <w:numPr>
          <w:ilvl w:val="0"/>
          <w:numId w:val="24"/>
        </w:numPr>
      </w:pPr>
      <w:r>
        <w:t>Mesurer les inégalités de taux de détention d’une assurance vie entre les actifs.</w:t>
      </w:r>
    </w:p>
    <w:p w:rsidR="00E01448" w:rsidRDefault="00E01448" w:rsidP="00E01448">
      <w:pPr>
        <w:pStyle w:val="Paragraphedeliste"/>
        <w:numPr>
          <w:ilvl w:val="0"/>
          <w:numId w:val="24"/>
        </w:numPr>
      </w:pPr>
      <w:r>
        <w:t>Pourquoi les taux de détention d’un patrimoine immobilier sont-ils plus élevés chez les retraités ?</w:t>
      </w:r>
    </w:p>
    <w:p w:rsidR="0066343B" w:rsidRDefault="00E01448" w:rsidP="00E01448">
      <w:pPr>
        <w:pStyle w:val="Paragraphedeliste"/>
        <w:widowControl/>
        <w:numPr>
          <w:ilvl w:val="0"/>
          <w:numId w:val="24"/>
        </w:numPr>
        <w:autoSpaceDE/>
        <w:autoSpaceDN/>
        <w:adjustRightInd/>
        <w:spacing w:after="200" w:line="276" w:lineRule="auto"/>
        <w:jc w:val="left"/>
      </w:pPr>
      <w:r>
        <w:t>Quelle pourrait être la principale explication des inégalités de taux de détention.</w:t>
      </w:r>
      <w:r w:rsidR="0066343B">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B34D49" w:rsidRPr="00B23360" w:rsidRDefault="00B34D49" w:rsidP="00B34D49">
      <w:r w:rsidRPr="00B23360">
        <w:t>Le taux d’épargne élevé dans l’Hexagone s’explique par un recours assez peu fréquent au crédit, en particulier au crédit à la consommation. Contrairement aux Anglo-Saxons qui le plébiscitent, les Français préfèrent financer leurs projets en épargnant. On décèle ainsi un comportement d’épargnant basé sur la prudence.</w:t>
      </w:r>
    </w:p>
    <w:p w:rsidR="00B34D49" w:rsidRPr="00B23360" w:rsidRDefault="00B34D49" w:rsidP="00B34D49">
      <w:r w:rsidRPr="00B23360">
        <w:t xml:space="preserve">Cette prudence s’est renforcée depuis la crise des </w:t>
      </w:r>
      <w:proofErr w:type="spellStart"/>
      <w:r w:rsidRPr="00B23360">
        <w:t>subprimes</w:t>
      </w:r>
      <w:proofErr w:type="spellEnd"/>
      <w:r w:rsidRPr="00B23360">
        <w:t xml:space="preserve"> (2007), et a eu un impact direct sur le choix des supports d’épargne. Certes, les Français sont historiquement des épargnants massifs, mais ils plébiscitent désormais les supports les moins risqués.</w:t>
      </w:r>
    </w:p>
    <w:p w:rsidR="00B34D49" w:rsidRDefault="00B34D49" w:rsidP="00B34D49">
      <w:r w:rsidRPr="00B23360">
        <w:t>Il faut enfin noter que le taux d’épargne élevé en France s’explique également par l’existence du système de retraite par répartition. Il assure aux seniors un minimum de revenus leur permettant généralement de continuer à épargner (même si la situation s’est dégradée au cours des dernières années) : une situation inhabituelle, comparée à celle des populations âgées d’autres pays.</w:t>
      </w:r>
    </w:p>
    <w:p w:rsidR="00B34D49" w:rsidRPr="00B23360" w:rsidRDefault="00B34D49" w:rsidP="00B34D49">
      <w:r>
        <w:t>[…]</w:t>
      </w:r>
    </w:p>
    <w:p w:rsidR="00B34D49" w:rsidRPr="00B23360" w:rsidRDefault="00B34D49" w:rsidP="00B34D49">
      <w:r w:rsidRPr="00B23360">
        <w:t>Dans un contexte de détérioration de la conjoncture économique, on constate généralement en France le maintien d’un haut niveau d’épargne. La peur du chômage et l’inquiétude face à un avenir incertain incitent les consommateurs à épargner par précaution, plutôt qu’à dépenser leurs revenus.</w:t>
      </w:r>
    </w:p>
    <w:p w:rsidR="00B34D49" w:rsidRPr="00B23360" w:rsidRDefault="00B34D49" w:rsidP="00B34D49">
      <w:r w:rsidRPr="00B23360">
        <w:t>Quelle que soit la conjoncture, le projet d’épargne qui reste prioritaire demeure bel et bien l’immobilier. Les Français consacrent en effet une part majeure de leurs économies à l’achat d’un bien immobilier, puis au remboursement de leur crédit.</w:t>
      </w:r>
    </w:p>
    <w:p w:rsidR="00B34D49" w:rsidRDefault="00B34D49" w:rsidP="00B34D49"/>
    <w:p w:rsidR="00B34D49" w:rsidRPr="000310B3" w:rsidRDefault="009606CD" w:rsidP="00B34D49">
      <w:pPr>
        <w:jc w:val="right"/>
        <w:rPr>
          <w:b/>
          <w:i/>
        </w:rPr>
      </w:pPr>
      <w:hyperlink r:id="rId16" w:history="1">
        <w:proofErr w:type="spellStart"/>
        <w:r w:rsidR="00B34D49" w:rsidRPr="000310B3">
          <w:rPr>
            <w:rStyle w:val="Lienhypertexte"/>
            <w:b/>
            <w:i/>
          </w:rPr>
          <w:t>Cetelem</w:t>
        </w:r>
        <w:proofErr w:type="spellEnd"/>
        <w:r w:rsidR="00B34D49" w:rsidRPr="000310B3">
          <w:rPr>
            <w:rStyle w:val="Lienhypertexte"/>
            <w:b/>
            <w:i/>
          </w:rPr>
          <w:t>, « Les Français : un comportement historique d’épargnants ».</w:t>
        </w:r>
      </w:hyperlink>
    </w:p>
    <w:p w:rsidR="00194CA0" w:rsidRDefault="00194CA0" w:rsidP="00B34D49"/>
    <w:p w:rsidR="00ED46F3" w:rsidRDefault="00ED46F3" w:rsidP="00ED46F3">
      <w:pPr>
        <w:pStyle w:val="Paragraphedeliste"/>
        <w:numPr>
          <w:ilvl w:val="0"/>
          <w:numId w:val="16"/>
        </w:numPr>
      </w:pPr>
      <w:r>
        <w:t>Quel est le principal motif d’épargne en France d’après le texte ?</w:t>
      </w:r>
    </w:p>
    <w:p w:rsidR="00ED46F3" w:rsidRDefault="00ED46F3" w:rsidP="00ED46F3">
      <w:pPr>
        <w:pStyle w:val="Paragraphedeliste"/>
        <w:numPr>
          <w:ilvl w:val="0"/>
          <w:numId w:val="16"/>
        </w:numPr>
      </w:pPr>
      <w:r>
        <w:t>Rembourser un crédit immobil</w:t>
      </w:r>
      <w:r w:rsidR="00AB00FE">
        <w:t>i</w:t>
      </w:r>
      <w:r>
        <w:t>er est-il une forme</w:t>
      </w:r>
      <w:r w:rsidR="00AB00FE">
        <w:t xml:space="preserve"> d’épargne ?</w:t>
      </w:r>
    </w:p>
    <w:p w:rsidR="00AB00FE" w:rsidRDefault="00AB00FE" w:rsidP="00ED46F3">
      <w:pPr>
        <w:pStyle w:val="Paragraphedeliste"/>
        <w:numPr>
          <w:ilvl w:val="0"/>
          <w:numId w:val="16"/>
        </w:numPr>
      </w:pPr>
      <w:r>
        <w:t>Les Français ont-ils fréquemment recours au crédit à la consommation ? En quoi cela influence-t-il leur taux d’épargne ?</w:t>
      </w:r>
    </w:p>
    <w:p w:rsidR="00AB00FE" w:rsidRDefault="00AB00FE" w:rsidP="00ED46F3">
      <w:pPr>
        <w:pStyle w:val="Paragraphedeliste"/>
        <w:numPr>
          <w:ilvl w:val="0"/>
          <w:numId w:val="16"/>
        </w:numPr>
      </w:pPr>
      <w:r>
        <w:t>En quoi une bonne pension de retraite favorise-t-elle l’épargne des retraités ?</w:t>
      </w:r>
    </w:p>
    <w:p w:rsidR="00AB00FE" w:rsidRDefault="00AB00FE" w:rsidP="00ED46F3">
      <w:pPr>
        <w:pStyle w:val="Paragraphedeliste"/>
        <w:numPr>
          <w:ilvl w:val="0"/>
          <w:numId w:val="16"/>
        </w:numPr>
      </w:pPr>
      <w:r>
        <w:t>En quoi une faible pension de retraite pénalise-t-elle l’épargne des retraités ?</w:t>
      </w:r>
    </w:p>
    <w:p w:rsidR="00AB00FE" w:rsidRDefault="00AB00FE" w:rsidP="00ED46F3">
      <w:pPr>
        <w:pStyle w:val="Paragraphedeliste"/>
        <w:numPr>
          <w:ilvl w:val="0"/>
          <w:numId w:val="16"/>
        </w:numPr>
      </w:pPr>
      <w:r>
        <w:t>Quelle est la situation de la France en matière de retraite comparé</w:t>
      </w:r>
      <w:r w:rsidR="003E0BAC">
        <w:t>e</w:t>
      </w:r>
      <w:r>
        <w:t xml:space="preserve"> à d’autres pays (anglo-saxons notamment) ?</w:t>
      </w:r>
    </w:p>
    <w:sectPr w:rsidR="00AB00FE" w:rsidSect="00B3054B">
      <w:headerReference w:type="default" r:id="rId17"/>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FC" w:rsidRDefault="008C44FC" w:rsidP="000B4BC4">
      <w:r>
        <w:separator/>
      </w:r>
    </w:p>
  </w:endnote>
  <w:endnote w:type="continuationSeparator" w:id="0">
    <w:p w:rsidR="008C44FC" w:rsidRDefault="008C44FC"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FC" w:rsidRDefault="008C44FC" w:rsidP="000B4BC4">
      <w:r>
        <w:separator/>
      </w:r>
    </w:p>
  </w:footnote>
  <w:footnote w:type="continuationSeparator" w:id="0">
    <w:p w:rsidR="008C44FC" w:rsidRDefault="008C44FC"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C7" w:rsidRPr="00470449" w:rsidRDefault="00A44BC7" w:rsidP="00F45CC0">
    <w:pPr>
      <w:pBdr>
        <w:bottom w:val="single" w:sz="6" w:space="1" w:color="auto"/>
      </w:pBdr>
      <w:ind w:left="-1134" w:right="-992" w:firstLine="851"/>
      <w:jc w:val="right"/>
      <w:rPr>
        <w:b/>
        <w:color w:val="E36C0A" w:themeColor="accent6" w:themeShade="BF"/>
        <w:sz w:val="16"/>
        <w:szCs w:val="16"/>
      </w:rPr>
    </w:pPr>
    <w:r>
      <w:rPr>
        <w:b/>
        <w:color w:val="E36C0A" w:themeColor="accent6" w:themeShade="BF"/>
        <w:sz w:val="16"/>
        <w:szCs w:val="16"/>
      </w:rPr>
      <w:t xml:space="preserve">Comment les revenus et les prix influencent-ils les choix des consommateurs </w:t>
    </w:r>
    <w:r w:rsidRPr="00470449">
      <w:rPr>
        <w:b/>
        <w:color w:val="E36C0A" w:themeColor="accent6" w:themeShade="BF"/>
        <w:sz w:val="16"/>
        <w:szCs w:val="16"/>
      </w:rPr>
      <w:t>? (</w:t>
    </w:r>
    <w:r>
      <w:rPr>
        <w:b/>
        <w:color w:val="E36C0A" w:themeColor="accent6" w:themeShade="BF"/>
        <w:sz w:val="16"/>
        <w:szCs w:val="16"/>
      </w:rPr>
      <w:t>3</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 Comportements et formes d’épargne des ménages</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Pr="00470449">
          <w:rPr>
            <w:b/>
            <w:color w:val="E36C0A" w:themeColor="accent6" w:themeShade="BF"/>
            <w:sz w:val="16"/>
            <w:szCs w:val="16"/>
          </w:rPr>
          <w:fldChar w:fldCharType="separate"/>
        </w:r>
        <w:r w:rsidR="00173D16">
          <w:rPr>
            <w:b/>
            <w:noProof/>
            <w:color w:val="E36C0A" w:themeColor="accent6" w:themeShade="BF"/>
            <w:sz w:val="16"/>
            <w:szCs w:val="16"/>
          </w:rPr>
          <w:t>5</w:t>
        </w:r>
        <w:r w:rsidRPr="00470449">
          <w:rPr>
            <w:b/>
            <w:color w:val="E36C0A" w:themeColor="accent6" w:themeShade="BF"/>
            <w:sz w:val="16"/>
            <w:szCs w:val="16"/>
          </w:rPr>
          <w:fldChar w:fldCharType="end"/>
        </w:r>
        <w:r w:rsidRPr="00470449">
          <w:rPr>
            <w:b/>
            <w:color w:val="E36C0A" w:themeColor="accent6" w:themeShade="BF"/>
            <w:sz w:val="16"/>
            <w:szCs w:val="16"/>
          </w:rPr>
          <w:t xml:space="preserve"> / </w:t>
        </w:r>
        <w:r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Pr="00470449">
          <w:rPr>
            <w:b/>
            <w:color w:val="E36C0A" w:themeColor="accent6" w:themeShade="BF"/>
            <w:sz w:val="16"/>
            <w:szCs w:val="16"/>
          </w:rPr>
          <w:fldChar w:fldCharType="separate"/>
        </w:r>
        <w:r w:rsidR="00173D16">
          <w:rPr>
            <w:b/>
            <w:noProof/>
            <w:color w:val="E36C0A" w:themeColor="accent6" w:themeShade="BF"/>
            <w:sz w:val="16"/>
            <w:szCs w:val="16"/>
          </w:rPr>
          <w:t>7</w:t>
        </w:r>
        <w:r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98E"/>
    <w:multiLevelType w:val="hybridMultilevel"/>
    <w:tmpl w:val="20060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667DE3"/>
    <w:multiLevelType w:val="hybridMultilevel"/>
    <w:tmpl w:val="A8D09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4C52D5"/>
    <w:multiLevelType w:val="multilevel"/>
    <w:tmpl w:val="0068D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33D3F"/>
    <w:multiLevelType w:val="hybridMultilevel"/>
    <w:tmpl w:val="CE005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BF0E77"/>
    <w:multiLevelType w:val="hybridMultilevel"/>
    <w:tmpl w:val="3A342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5B15EA"/>
    <w:multiLevelType w:val="hybridMultilevel"/>
    <w:tmpl w:val="96083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A47841"/>
    <w:multiLevelType w:val="hybridMultilevel"/>
    <w:tmpl w:val="CA70D3F4"/>
    <w:lvl w:ilvl="0" w:tplc="7E8C1E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8357FE3"/>
    <w:multiLevelType w:val="hybridMultilevel"/>
    <w:tmpl w:val="EC90D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105674"/>
    <w:multiLevelType w:val="hybridMultilevel"/>
    <w:tmpl w:val="CC9CF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F51DB1"/>
    <w:multiLevelType w:val="hybridMultilevel"/>
    <w:tmpl w:val="79449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9F085B"/>
    <w:multiLevelType w:val="hybridMultilevel"/>
    <w:tmpl w:val="553E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28763A"/>
    <w:multiLevelType w:val="multilevel"/>
    <w:tmpl w:val="A576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B05CA1"/>
    <w:multiLevelType w:val="hybridMultilevel"/>
    <w:tmpl w:val="6E3C63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1C0D2C"/>
    <w:multiLevelType w:val="hybridMultilevel"/>
    <w:tmpl w:val="F3409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D61DB5"/>
    <w:multiLevelType w:val="hybridMultilevel"/>
    <w:tmpl w:val="A6209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672EC0"/>
    <w:multiLevelType w:val="hybridMultilevel"/>
    <w:tmpl w:val="4D0089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69D011E"/>
    <w:multiLevelType w:val="hybridMultilevel"/>
    <w:tmpl w:val="0C5A1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3E1066"/>
    <w:multiLevelType w:val="hybridMultilevel"/>
    <w:tmpl w:val="96083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E15817"/>
    <w:multiLevelType w:val="hybridMultilevel"/>
    <w:tmpl w:val="81D8A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750F18"/>
    <w:multiLevelType w:val="multilevel"/>
    <w:tmpl w:val="9524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761B42"/>
    <w:multiLevelType w:val="hybridMultilevel"/>
    <w:tmpl w:val="C04CB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84D1F6A"/>
    <w:multiLevelType w:val="multilevel"/>
    <w:tmpl w:val="BEC2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C379A"/>
    <w:multiLevelType w:val="multilevel"/>
    <w:tmpl w:val="ADAC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E306BD"/>
    <w:multiLevelType w:val="hybridMultilevel"/>
    <w:tmpl w:val="74902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DB92B0E"/>
    <w:multiLevelType w:val="hybridMultilevel"/>
    <w:tmpl w:val="035C2B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D177E"/>
    <w:multiLevelType w:val="hybridMultilevel"/>
    <w:tmpl w:val="0930B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8"/>
  </w:num>
  <w:num w:numId="3">
    <w:abstractNumId w:val="23"/>
  </w:num>
  <w:num w:numId="4">
    <w:abstractNumId w:val="10"/>
  </w:num>
  <w:num w:numId="5">
    <w:abstractNumId w:val="20"/>
  </w:num>
  <w:num w:numId="6">
    <w:abstractNumId w:val="0"/>
  </w:num>
  <w:num w:numId="7">
    <w:abstractNumId w:val="13"/>
  </w:num>
  <w:num w:numId="8">
    <w:abstractNumId w:val="19"/>
  </w:num>
  <w:num w:numId="9">
    <w:abstractNumId w:val="7"/>
  </w:num>
  <w:num w:numId="10">
    <w:abstractNumId w:val="16"/>
  </w:num>
  <w:num w:numId="11">
    <w:abstractNumId w:val="1"/>
  </w:num>
  <w:num w:numId="12">
    <w:abstractNumId w:val="25"/>
  </w:num>
  <w:num w:numId="13">
    <w:abstractNumId w:val="6"/>
  </w:num>
  <w:num w:numId="14">
    <w:abstractNumId w:val="15"/>
  </w:num>
  <w:num w:numId="15">
    <w:abstractNumId w:val="5"/>
  </w:num>
  <w:num w:numId="16">
    <w:abstractNumId w:val="4"/>
  </w:num>
  <w:num w:numId="17">
    <w:abstractNumId w:val="11"/>
  </w:num>
  <w:num w:numId="18">
    <w:abstractNumId w:val="2"/>
    <w:lvlOverride w:ilvl="0">
      <w:lvl w:ilvl="0">
        <w:numFmt w:val="decimal"/>
        <w:lvlText w:val="%1."/>
        <w:lvlJc w:val="left"/>
      </w:lvl>
    </w:lvlOverride>
  </w:num>
  <w:num w:numId="19">
    <w:abstractNumId w:val="24"/>
  </w:num>
  <w:num w:numId="20">
    <w:abstractNumId w:val="12"/>
  </w:num>
  <w:num w:numId="21">
    <w:abstractNumId w:val="14"/>
  </w:num>
  <w:num w:numId="22">
    <w:abstractNumId w:val="18"/>
  </w:num>
  <w:num w:numId="23">
    <w:abstractNumId w:val="9"/>
  </w:num>
  <w:num w:numId="24">
    <w:abstractNumId w:val="3"/>
  </w:num>
  <w:num w:numId="25">
    <w:abstractNumId w:val="21"/>
  </w:num>
  <w:num w:numId="26">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9874"/>
  </w:hdrShapeDefaults>
  <w:footnotePr>
    <w:footnote w:id="-1"/>
    <w:footnote w:id="0"/>
  </w:footnotePr>
  <w:endnotePr>
    <w:endnote w:id="-1"/>
    <w:endnote w:id="0"/>
  </w:endnotePr>
  <w:compat/>
  <w:rsids>
    <w:rsidRoot w:val="000B4BC4"/>
    <w:rsid w:val="00017604"/>
    <w:rsid w:val="00024683"/>
    <w:rsid w:val="00025423"/>
    <w:rsid w:val="000269E4"/>
    <w:rsid w:val="00027D43"/>
    <w:rsid w:val="00030D24"/>
    <w:rsid w:val="000310B3"/>
    <w:rsid w:val="000358A2"/>
    <w:rsid w:val="00057DAD"/>
    <w:rsid w:val="00086695"/>
    <w:rsid w:val="00087C40"/>
    <w:rsid w:val="000953D7"/>
    <w:rsid w:val="000A7124"/>
    <w:rsid w:val="000B4BC4"/>
    <w:rsid w:val="000D0252"/>
    <w:rsid w:val="000D3A81"/>
    <w:rsid w:val="000D6E61"/>
    <w:rsid w:val="00110DE6"/>
    <w:rsid w:val="001161EE"/>
    <w:rsid w:val="001226D7"/>
    <w:rsid w:val="0013275F"/>
    <w:rsid w:val="001339D3"/>
    <w:rsid w:val="001339D8"/>
    <w:rsid w:val="00144695"/>
    <w:rsid w:val="0014578E"/>
    <w:rsid w:val="00147543"/>
    <w:rsid w:val="00155F5C"/>
    <w:rsid w:val="00173D16"/>
    <w:rsid w:val="00176994"/>
    <w:rsid w:val="00194CA0"/>
    <w:rsid w:val="001A48D1"/>
    <w:rsid w:val="001B70E3"/>
    <w:rsid w:val="001C0C9B"/>
    <w:rsid w:val="001D3CE8"/>
    <w:rsid w:val="001F0B29"/>
    <w:rsid w:val="001F7114"/>
    <w:rsid w:val="00214B25"/>
    <w:rsid w:val="00214FF0"/>
    <w:rsid w:val="002353D0"/>
    <w:rsid w:val="00236147"/>
    <w:rsid w:val="00237B7A"/>
    <w:rsid w:val="00240865"/>
    <w:rsid w:val="00253C17"/>
    <w:rsid w:val="002665F6"/>
    <w:rsid w:val="0027652D"/>
    <w:rsid w:val="00281400"/>
    <w:rsid w:val="00287515"/>
    <w:rsid w:val="00291360"/>
    <w:rsid w:val="00293153"/>
    <w:rsid w:val="00295153"/>
    <w:rsid w:val="002A6D43"/>
    <w:rsid w:val="002C0F23"/>
    <w:rsid w:val="002C2A60"/>
    <w:rsid w:val="002F2C92"/>
    <w:rsid w:val="002F3A84"/>
    <w:rsid w:val="00311B03"/>
    <w:rsid w:val="003128C1"/>
    <w:rsid w:val="00327C27"/>
    <w:rsid w:val="0033434C"/>
    <w:rsid w:val="00334D28"/>
    <w:rsid w:val="0034387C"/>
    <w:rsid w:val="0035527E"/>
    <w:rsid w:val="00355814"/>
    <w:rsid w:val="00357BC6"/>
    <w:rsid w:val="00360104"/>
    <w:rsid w:val="003648B1"/>
    <w:rsid w:val="00366AAF"/>
    <w:rsid w:val="00385646"/>
    <w:rsid w:val="003A5FEC"/>
    <w:rsid w:val="003B1C04"/>
    <w:rsid w:val="003B2FDB"/>
    <w:rsid w:val="003C1D9F"/>
    <w:rsid w:val="003C40F7"/>
    <w:rsid w:val="003C53C6"/>
    <w:rsid w:val="003D0421"/>
    <w:rsid w:val="003D2A20"/>
    <w:rsid w:val="003D2DFD"/>
    <w:rsid w:val="003D4DA7"/>
    <w:rsid w:val="003E0BAC"/>
    <w:rsid w:val="003E2DCB"/>
    <w:rsid w:val="003E7E03"/>
    <w:rsid w:val="003F050B"/>
    <w:rsid w:val="003F15FE"/>
    <w:rsid w:val="003F7CEF"/>
    <w:rsid w:val="004050D8"/>
    <w:rsid w:val="004126CA"/>
    <w:rsid w:val="00427771"/>
    <w:rsid w:val="00440FFC"/>
    <w:rsid w:val="00444400"/>
    <w:rsid w:val="004653C0"/>
    <w:rsid w:val="00466B08"/>
    <w:rsid w:val="00470449"/>
    <w:rsid w:val="00472008"/>
    <w:rsid w:val="00475E59"/>
    <w:rsid w:val="00493EB6"/>
    <w:rsid w:val="00494E60"/>
    <w:rsid w:val="004A0D91"/>
    <w:rsid w:val="004A2A31"/>
    <w:rsid w:val="004A4FDD"/>
    <w:rsid w:val="004B17B8"/>
    <w:rsid w:val="004C040F"/>
    <w:rsid w:val="004C217C"/>
    <w:rsid w:val="004F203B"/>
    <w:rsid w:val="004F3150"/>
    <w:rsid w:val="0052267C"/>
    <w:rsid w:val="00524D2A"/>
    <w:rsid w:val="00526B61"/>
    <w:rsid w:val="0053508D"/>
    <w:rsid w:val="00546398"/>
    <w:rsid w:val="005733C9"/>
    <w:rsid w:val="005762AB"/>
    <w:rsid w:val="00587DD6"/>
    <w:rsid w:val="00597E9C"/>
    <w:rsid w:val="005C795D"/>
    <w:rsid w:val="005D692F"/>
    <w:rsid w:val="005D7229"/>
    <w:rsid w:val="005D7673"/>
    <w:rsid w:val="005E0DCB"/>
    <w:rsid w:val="005E2BA0"/>
    <w:rsid w:val="005F5BFF"/>
    <w:rsid w:val="00604D78"/>
    <w:rsid w:val="006077AE"/>
    <w:rsid w:val="00626E3A"/>
    <w:rsid w:val="00643AF1"/>
    <w:rsid w:val="00643DF5"/>
    <w:rsid w:val="0066343B"/>
    <w:rsid w:val="00694D10"/>
    <w:rsid w:val="006B2E5D"/>
    <w:rsid w:val="006C1641"/>
    <w:rsid w:val="006C516D"/>
    <w:rsid w:val="006E11F2"/>
    <w:rsid w:val="006E3159"/>
    <w:rsid w:val="006F2CFD"/>
    <w:rsid w:val="006F63BB"/>
    <w:rsid w:val="007114AF"/>
    <w:rsid w:val="0072338C"/>
    <w:rsid w:val="00730482"/>
    <w:rsid w:val="00764CBE"/>
    <w:rsid w:val="00784272"/>
    <w:rsid w:val="007C0B82"/>
    <w:rsid w:val="007E0CAA"/>
    <w:rsid w:val="00835D77"/>
    <w:rsid w:val="00847FD3"/>
    <w:rsid w:val="00852C46"/>
    <w:rsid w:val="00865FFB"/>
    <w:rsid w:val="0087713C"/>
    <w:rsid w:val="00883863"/>
    <w:rsid w:val="0089158A"/>
    <w:rsid w:val="00894858"/>
    <w:rsid w:val="00895773"/>
    <w:rsid w:val="008A39FC"/>
    <w:rsid w:val="008A40B7"/>
    <w:rsid w:val="008C44FC"/>
    <w:rsid w:val="008E0C0C"/>
    <w:rsid w:val="008E578C"/>
    <w:rsid w:val="008E58EE"/>
    <w:rsid w:val="008F0440"/>
    <w:rsid w:val="008F0E3F"/>
    <w:rsid w:val="008F6312"/>
    <w:rsid w:val="008F7CD6"/>
    <w:rsid w:val="00913EA6"/>
    <w:rsid w:val="00914111"/>
    <w:rsid w:val="00920B71"/>
    <w:rsid w:val="00922E21"/>
    <w:rsid w:val="009273FC"/>
    <w:rsid w:val="00927455"/>
    <w:rsid w:val="00931F00"/>
    <w:rsid w:val="00933B6B"/>
    <w:rsid w:val="00943626"/>
    <w:rsid w:val="00944B76"/>
    <w:rsid w:val="009606CD"/>
    <w:rsid w:val="009677D4"/>
    <w:rsid w:val="00973258"/>
    <w:rsid w:val="00975870"/>
    <w:rsid w:val="00991A7E"/>
    <w:rsid w:val="00995591"/>
    <w:rsid w:val="009A1C9D"/>
    <w:rsid w:val="009A66B8"/>
    <w:rsid w:val="009B0246"/>
    <w:rsid w:val="009B7461"/>
    <w:rsid w:val="009C4A26"/>
    <w:rsid w:val="009E527E"/>
    <w:rsid w:val="009F2B12"/>
    <w:rsid w:val="00A44BC7"/>
    <w:rsid w:val="00A619B8"/>
    <w:rsid w:val="00A62472"/>
    <w:rsid w:val="00A665FC"/>
    <w:rsid w:val="00A83812"/>
    <w:rsid w:val="00AA5AA5"/>
    <w:rsid w:val="00AB00FE"/>
    <w:rsid w:val="00AB2FAA"/>
    <w:rsid w:val="00AB663F"/>
    <w:rsid w:val="00AC5C14"/>
    <w:rsid w:val="00AC647F"/>
    <w:rsid w:val="00AD093E"/>
    <w:rsid w:val="00AD4EF4"/>
    <w:rsid w:val="00AE78C9"/>
    <w:rsid w:val="00B23360"/>
    <w:rsid w:val="00B3054B"/>
    <w:rsid w:val="00B34D49"/>
    <w:rsid w:val="00B36AE2"/>
    <w:rsid w:val="00B451CC"/>
    <w:rsid w:val="00B5405C"/>
    <w:rsid w:val="00B8046E"/>
    <w:rsid w:val="00BA1136"/>
    <w:rsid w:val="00BA6A06"/>
    <w:rsid w:val="00BB0C3B"/>
    <w:rsid w:val="00BC100A"/>
    <w:rsid w:val="00BC2A10"/>
    <w:rsid w:val="00BC5227"/>
    <w:rsid w:val="00BD1360"/>
    <w:rsid w:val="00BE7D34"/>
    <w:rsid w:val="00BF4F2F"/>
    <w:rsid w:val="00BF5207"/>
    <w:rsid w:val="00C015AA"/>
    <w:rsid w:val="00C02460"/>
    <w:rsid w:val="00C2395C"/>
    <w:rsid w:val="00C47BBF"/>
    <w:rsid w:val="00C61872"/>
    <w:rsid w:val="00C63E6E"/>
    <w:rsid w:val="00C76042"/>
    <w:rsid w:val="00C85D49"/>
    <w:rsid w:val="00CA7B2E"/>
    <w:rsid w:val="00CC1005"/>
    <w:rsid w:val="00CC33D9"/>
    <w:rsid w:val="00CE2431"/>
    <w:rsid w:val="00CF11F0"/>
    <w:rsid w:val="00D0078D"/>
    <w:rsid w:val="00D31DA4"/>
    <w:rsid w:val="00D44DAB"/>
    <w:rsid w:val="00D45E9F"/>
    <w:rsid w:val="00D626B6"/>
    <w:rsid w:val="00D63167"/>
    <w:rsid w:val="00D64AE4"/>
    <w:rsid w:val="00D67D45"/>
    <w:rsid w:val="00D853F6"/>
    <w:rsid w:val="00DA0BD5"/>
    <w:rsid w:val="00DA24DE"/>
    <w:rsid w:val="00DA5968"/>
    <w:rsid w:val="00DA7404"/>
    <w:rsid w:val="00DB7DA8"/>
    <w:rsid w:val="00DC2C2A"/>
    <w:rsid w:val="00DD0405"/>
    <w:rsid w:val="00DD2F79"/>
    <w:rsid w:val="00DD3DF8"/>
    <w:rsid w:val="00DD4337"/>
    <w:rsid w:val="00DD44CF"/>
    <w:rsid w:val="00DE2142"/>
    <w:rsid w:val="00DF196C"/>
    <w:rsid w:val="00DF5C67"/>
    <w:rsid w:val="00E01448"/>
    <w:rsid w:val="00E075B7"/>
    <w:rsid w:val="00E1352A"/>
    <w:rsid w:val="00E1612F"/>
    <w:rsid w:val="00E16722"/>
    <w:rsid w:val="00E21232"/>
    <w:rsid w:val="00E33EEE"/>
    <w:rsid w:val="00E42B85"/>
    <w:rsid w:val="00E52406"/>
    <w:rsid w:val="00E604EC"/>
    <w:rsid w:val="00E62A60"/>
    <w:rsid w:val="00E909D9"/>
    <w:rsid w:val="00EA4948"/>
    <w:rsid w:val="00EA7339"/>
    <w:rsid w:val="00EC01F9"/>
    <w:rsid w:val="00EC1532"/>
    <w:rsid w:val="00EC324B"/>
    <w:rsid w:val="00ED42A4"/>
    <w:rsid w:val="00ED46F3"/>
    <w:rsid w:val="00EF7CA9"/>
    <w:rsid w:val="00F027D7"/>
    <w:rsid w:val="00F25AB0"/>
    <w:rsid w:val="00F26EB7"/>
    <w:rsid w:val="00F27DB3"/>
    <w:rsid w:val="00F45CC0"/>
    <w:rsid w:val="00F577B6"/>
    <w:rsid w:val="00F77668"/>
    <w:rsid w:val="00F77C94"/>
    <w:rsid w:val="00F921C6"/>
    <w:rsid w:val="00F93CF3"/>
    <w:rsid w:val="00FB2195"/>
    <w:rsid w:val="00FB6982"/>
    <w:rsid w:val="00FC6511"/>
    <w:rsid w:val="00FF0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943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 w:type="character" w:customStyle="1" w:styleId="Titre1Car">
    <w:name w:val="Titre 1 Car"/>
    <w:basedOn w:val="Policepardfaut"/>
    <w:link w:val="Titre1"/>
    <w:uiPriority w:val="9"/>
    <w:rsid w:val="00943626"/>
    <w:rPr>
      <w:rFonts w:asciiTheme="majorHAnsi" w:eastAsiaTheme="majorEastAsia" w:hAnsiTheme="majorHAnsi" w:cstheme="majorBidi"/>
      <w:b/>
      <w:bCs/>
      <w:color w:val="365F91" w:themeColor="accent1" w:themeShade="BF"/>
      <w:sz w:val="28"/>
      <w:szCs w:val="28"/>
      <w:lang w:eastAsia="fr-FR"/>
    </w:rPr>
  </w:style>
  <w:style w:type="paragraph" w:customStyle="1" w:styleId="spip">
    <w:name w:val="spip"/>
    <w:basedOn w:val="Normal"/>
    <w:rsid w:val="009B7461"/>
    <w:pPr>
      <w:widowControl/>
      <w:autoSpaceDE/>
      <w:autoSpaceDN/>
      <w:adjustRightInd/>
      <w:spacing w:before="100" w:beforeAutospacing="1" w:after="100" w:afterAutospacing="1"/>
      <w:jc w:val="left"/>
    </w:pPr>
    <w:rPr>
      <w:rFonts w:cs="Times New Roman"/>
      <w:szCs w:val="24"/>
    </w:rPr>
  </w:style>
  <w:style w:type="character" w:customStyle="1" w:styleId="definition">
    <w:name w:val="definition"/>
    <w:basedOn w:val="Policepardfaut"/>
    <w:rsid w:val="00355814"/>
  </w:style>
  <w:style w:type="character" w:customStyle="1" w:styleId="blocdef">
    <w:name w:val="bloc_def"/>
    <w:basedOn w:val="Policepardfaut"/>
    <w:rsid w:val="00355814"/>
  </w:style>
  <w:style w:type="character" w:customStyle="1" w:styleId="list">
    <w:name w:val="list"/>
    <w:basedOn w:val="Policepardfaut"/>
    <w:rsid w:val="00017604"/>
  </w:style>
  <w:style w:type="paragraph" w:customStyle="1" w:styleId="mentions">
    <w:name w:val="mentions"/>
    <w:basedOn w:val="Normal"/>
    <w:rsid w:val="00B23360"/>
    <w:pPr>
      <w:widowControl/>
      <w:autoSpaceDE/>
      <w:autoSpaceDN/>
      <w:adjustRightInd/>
      <w:spacing w:before="100" w:beforeAutospacing="1" w:after="100" w:afterAutospacing="1"/>
      <w:jc w:val="lef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121506053">
      <w:bodyDiv w:val="1"/>
      <w:marLeft w:val="0"/>
      <w:marRight w:val="0"/>
      <w:marTop w:val="0"/>
      <w:marBottom w:val="0"/>
      <w:divBdr>
        <w:top w:val="none" w:sz="0" w:space="0" w:color="auto"/>
        <w:left w:val="none" w:sz="0" w:space="0" w:color="auto"/>
        <w:bottom w:val="none" w:sz="0" w:space="0" w:color="auto"/>
        <w:right w:val="none" w:sz="0" w:space="0" w:color="auto"/>
      </w:divBdr>
    </w:div>
    <w:div w:id="136606615">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142088320">
      <w:bodyDiv w:val="1"/>
      <w:marLeft w:val="0"/>
      <w:marRight w:val="0"/>
      <w:marTop w:val="0"/>
      <w:marBottom w:val="0"/>
      <w:divBdr>
        <w:top w:val="none" w:sz="0" w:space="0" w:color="auto"/>
        <w:left w:val="none" w:sz="0" w:space="0" w:color="auto"/>
        <w:bottom w:val="none" w:sz="0" w:space="0" w:color="auto"/>
        <w:right w:val="none" w:sz="0" w:space="0" w:color="auto"/>
      </w:divBdr>
      <w:divsChild>
        <w:div w:id="1762986779">
          <w:marLeft w:val="0"/>
          <w:marRight w:val="0"/>
          <w:marTop w:val="0"/>
          <w:marBottom w:val="0"/>
          <w:divBdr>
            <w:top w:val="none" w:sz="0" w:space="0" w:color="auto"/>
            <w:left w:val="none" w:sz="0" w:space="0" w:color="auto"/>
            <w:bottom w:val="none" w:sz="0" w:space="0" w:color="auto"/>
            <w:right w:val="none" w:sz="0" w:space="0" w:color="auto"/>
          </w:divBdr>
          <w:divsChild>
            <w:div w:id="1487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6157">
      <w:bodyDiv w:val="1"/>
      <w:marLeft w:val="0"/>
      <w:marRight w:val="0"/>
      <w:marTop w:val="0"/>
      <w:marBottom w:val="0"/>
      <w:divBdr>
        <w:top w:val="none" w:sz="0" w:space="0" w:color="auto"/>
        <w:left w:val="none" w:sz="0" w:space="0" w:color="auto"/>
        <w:bottom w:val="none" w:sz="0" w:space="0" w:color="auto"/>
        <w:right w:val="none" w:sz="0" w:space="0" w:color="auto"/>
      </w:divBdr>
    </w:div>
    <w:div w:id="242880995">
      <w:bodyDiv w:val="1"/>
      <w:marLeft w:val="0"/>
      <w:marRight w:val="0"/>
      <w:marTop w:val="0"/>
      <w:marBottom w:val="0"/>
      <w:divBdr>
        <w:top w:val="none" w:sz="0" w:space="0" w:color="auto"/>
        <w:left w:val="none" w:sz="0" w:space="0" w:color="auto"/>
        <w:bottom w:val="none" w:sz="0" w:space="0" w:color="auto"/>
        <w:right w:val="none" w:sz="0" w:space="0" w:color="auto"/>
      </w:divBdr>
      <w:divsChild>
        <w:div w:id="1623270603">
          <w:marLeft w:val="0"/>
          <w:marRight w:val="0"/>
          <w:marTop w:val="0"/>
          <w:marBottom w:val="0"/>
          <w:divBdr>
            <w:top w:val="none" w:sz="0" w:space="0" w:color="auto"/>
            <w:left w:val="none" w:sz="0" w:space="0" w:color="auto"/>
            <w:bottom w:val="none" w:sz="0" w:space="0" w:color="auto"/>
            <w:right w:val="none" w:sz="0" w:space="0" w:color="auto"/>
          </w:divBdr>
        </w:div>
      </w:divsChild>
    </w:div>
    <w:div w:id="307588179">
      <w:bodyDiv w:val="1"/>
      <w:marLeft w:val="0"/>
      <w:marRight w:val="0"/>
      <w:marTop w:val="0"/>
      <w:marBottom w:val="0"/>
      <w:divBdr>
        <w:top w:val="none" w:sz="0" w:space="0" w:color="auto"/>
        <w:left w:val="none" w:sz="0" w:space="0" w:color="auto"/>
        <w:bottom w:val="none" w:sz="0" w:space="0" w:color="auto"/>
        <w:right w:val="none" w:sz="0" w:space="0" w:color="auto"/>
      </w:divBdr>
    </w:div>
    <w:div w:id="315185700">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363099089">
      <w:bodyDiv w:val="1"/>
      <w:marLeft w:val="0"/>
      <w:marRight w:val="0"/>
      <w:marTop w:val="0"/>
      <w:marBottom w:val="0"/>
      <w:divBdr>
        <w:top w:val="none" w:sz="0" w:space="0" w:color="auto"/>
        <w:left w:val="none" w:sz="0" w:space="0" w:color="auto"/>
        <w:bottom w:val="none" w:sz="0" w:space="0" w:color="auto"/>
        <w:right w:val="none" w:sz="0" w:space="0" w:color="auto"/>
      </w:divBdr>
    </w:div>
    <w:div w:id="555045800">
      <w:bodyDiv w:val="1"/>
      <w:marLeft w:val="0"/>
      <w:marRight w:val="0"/>
      <w:marTop w:val="0"/>
      <w:marBottom w:val="0"/>
      <w:divBdr>
        <w:top w:val="none" w:sz="0" w:space="0" w:color="auto"/>
        <w:left w:val="none" w:sz="0" w:space="0" w:color="auto"/>
        <w:bottom w:val="none" w:sz="0" w:space="0" w:color="auto"/>
        <w:right w:val="none" w:sz="0" w:space="0" w:color="auto"/>
      </w:divBdr>
      <w:divsChild>
        <w:div w:id="2076662876">
          <w:marLeft w:val="0"/>
          <w:marRight w:val="0"/>
          <w:marTop w:val="0"/>
          <w:marBottom w:val="0"/>
          <w:divBdr>
            <w:top w:val="none" w:sz="0" w:space="0" w:color="auto"/>
            <w:left w:val="none" w:sz="0" w:space="0" w:color="auto"/>
            <w:bottom w:val="none" w:sz="0" w:space="0" w:color="auto"/>
            <w:right w:val="none" w:sz="0" w:space="0" w:color="auto"/>
          </w:divBdr>
        </w:div>
        <w:div w:id="1249850863">
          <w:marLeft w:val="0"/>
          <w:marRight w:val="0"/>
          <w:marTop w:val="0"/>
          <w:marBottom w:val="0"/>
          <w:divBdr>
            <w:top w:val="none" w:sz="0" w:space="0" w:color="auto"/>
            <w:left w:val="none" w:sz="0" w:space="0" w:color="auto"/>
            <w:bottom w:val="none" w:sz="0" w:space="0" w:color="auto"/>
            <w:right w:val="none" w:sz="0" w:space="0" w:color="auto"/>
          </w:divBdr>
        </w:div>
      </w:divsChild>
    </w:div>
    <w:div w:id="562915364">
      <w:bodyDiv w:val="1"/>
      <w:marLeft w:val="0"/>
      <w:marRight w:val="0"/>
      <w:marTop w:val="0"/>
      <w:marBottom w:val="0"/>
      <w:divBdr>
        <w:top w:val="none" w:sz="0" w:space="0" w:color="auto"/>
        <w:left w:val="none" w:sz="0" w:space="0" w:color="auto"/>
        <w:bottom w:val="none" w:sz="0" w:space="0" w:color="auto"/>
        <w:right w:val="none" w:sz="0" w:space="0" w:color="auto"/>
      </w:divBdr>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947396619">
      <w:bodyDiv w:val="1"/>
      <w:marLeft w:val="0"/>
      <w:marRight w:val="0"/>
      <w:marTop w:val="0"/>
      <w:marBottom w:val="0"/>
      <w:divBdr>
        <w:top w:val="none" w:sz="0" w:space="0" w:color="auto"/>
        <w:left w:val="none" w:sz="0" w:space="0" w:color="auto"/>
        <w:bottom w:val="none" w:sz="0" w:space="0" w:color="auto"/>
        <w:right w:val="none" w:sz="0" w:space="0" w:color="auto"/>
      </w:divBdr>
    </w:div>
    <w:div w:id="1042485642">
      <w:bodyDiv w:val="1"/>
      <w:marLeft w:val="0"/>
      <w:marRight w:val="0"/>
      <w:marTop w:val="0"/>
      <w:marBottom w:val="0"/>
      <w:divBdr>
        <w:top w:val="none" w:sz="0" w:space="0" w:color="auto"/>
        <w:left w:val="none" w:sz="0" w:space="0" w:color="auto"/>
        <w:bottom w:val="none" w:sz="0" w:space="0" w:color="auto"/>
        <w:right w:val="none" w:sz="0" w:space="0" w:color="auto"/>
      </w:divBdr>
    </w:div>
    <w:div w:id="1056244275">
      <w:bodyDiv w:val="1"/>
      <w:marLeft w:val="0"/>
      <w:marRight w:val="0"/>
      <w:marTop w:val="0"/>
      <w:marBottom w:val="0"/>
      <w:divBdr>
        <w:top w:val="none" w:sz="0" w:space="0" w:color="auto"/>
        <w:left w:val="none" w:sz="0" w:space="0" w:color="auto"/>
        <w:bottom w:val="none" w:sz="0" w:space="0" w:color="auto"/>
        <w:right w:val="none" w:sz="0" w:space="0" w:color="auto"/>
      </w:divBdr>
    </w:div>
    <w:div w:id="1174957426">
      <w:bodyDiv w:val="1"/>
      <w:marLeft w:val="0"/>
      <w:marRight w:val="0"/>
      <w:marTop w:val="0"/>
      <w:marBottom w:val="0"/>
      <w:divBdr>
        <w:top w:val="none" w:sz="0" w:space="0" w:color="auto"/>
        <w:left w:val="none" w:sz="0" w:space="0" w:color="auto"/>
        <w:bottom w:val="none" w:sz="0" w:space="0" w:color="auto"/>
        <w:right w:val="none" w:sz="0" w:space="0" w:color="auto"/>
      </w:divBdr>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264455492">
      <w:bodyDiv w:val="1"/>
      <w:marLeft w:val="0"/>
      <w:marRight w:val="0"/>
      <w:marTop w:val="0"/>
      <w:marBottom w:val="0"/>
      <w:divBdr>
        <w:top w:val="none" w:sz="0" w:space="0" w:color="auto"/>
        <w:left w:val="none" w:sz="0" w:space="0" w:color="auto"/>
        <w:bottom w:val="none" w:sz="0" w:space="0" w:color="auto"/>
        <w:right w:val="none" w:sz="0" w:space="0" w:color="auto"/>
      </w:divBdr>
    </w:div>
    <w:div w:id="1288312076">
      <w:bodyDiv w:val="1"/>
      <w:marLeft w:val="0"/>
      <w:marRight w:val="0"/>
      <w:marTop w:val="0"/>
      <w:marBottom w:val="0"/>
      <w:divBdr>
        <w:top w:val="none" w:sz="0" w:space="0" w:color="auto"/>
        <w:left w:val="none" w:sz="0" w:space="0" w:color="auto"/>
        <w:bottom w:val="none" w:sz="0" w:space="0" w:color="auto"/>
        <w:right w:val="none" w:sz="0" w:space="0" w:color="auto"/>
      </w:divBdr>
    </w:div>
    <w:div w:id="1293513145">
      <w:bodyDiv w:val="1"/>
      <w:marLeft w:val="0"/>
      <w:marRight w:val="0"/>
      <w:marTop w:val="0"/>
      <w:marBottom w:val="0"/>
      <w:divBdr>
        <w:top w:val="none" w:sz="0" w:space="0" w:color="auto"/>
        <w:left w:val="none" w:sz="0" w:space="0" w:color="auto"/>
        <w:bottom w:val="none" w:sz="0" w:space="0" w:color="auto"/>
        <w:right w:val="none" w:sz="0" w:space="0" w:color="auto"/>
      </w:divBdr>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528060899">
      <w:bodyDiv w:val="1"/>
      <w:marLeft w:val="0"/>
      <w:marRight w:val="0"/>
      <w:marTop w:val="0"/>
      <w:marBottom w:val="0"/>
      <w:divBdr>
        <w:top w:val="none" w:sz="0" w:space="0" w:color="auto"/>
        <w:left w:val="none" w:sz="0" w:space="0" w:color="auto"/>
        <w:bottom w:val="none" w:sz="0" w:space="0" w:color="auto"/>
        <w:right w:val="none" w:sz="0" w:space="0" w:color="auto"/>
      </w:divBdr>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798062927">
      <w:bodyDiv w:val="1"/>
      <w:marLeft w:val="0"/>
      <w:marRight w:val="0"/>
      <w:marTop w:val="0"/>
      <w:marBottom w:val="0"/>
      <w:divBdr>
        <w:top w:val="none" w:sz="0" w:space="0" w:color="auto"/>
        <w:left w:val="none" w:sz="0" w:space="0" w:color="auto"/>
        <w:bottom w:val="none" w:sz="0" w:space="0" w:color="auto"/>
        <w:right w:val="none" w:sz="0" w:space="0" w:color="auto"/>
      </w:divBdr>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1899314605">
      <w:bodyDiv w:val="1"/>
      <w:marLeft w:val="0"/>
      <w:marRight w:val="0"/>
      <w:marTop w:val="0"/>
      <w:marBottom w:val="0"/>
      <w:divBdr>
        <w:top w:val="none" w:sz="0" w:space="0" w:color="auto"/>
        <w:left w:val="none" w:sz="0" w:space="0" w:color="auto"/>
        <w:bottom w:val="none" w:sz="0" w:space="0" w:color="auto"/>
        <w:right w:val="none" w:sz="0" w:space="0" w:color="auto"/>
      </w:divBdr>
    </w:div>
    <w:div w:id="1925802129">
      <w:bodyDiv w:val="1"/>
      <w:marLeft w:val="0"/>
      <w:marRight w:val="0"/>
      <w:marTop w:val="0"/>
      <w:marBottom w:val="0"/>
      <w:divBdr>
        <w:top w:val="none" w:sz="0" w:space="0" w:color="auto"/>
        <w:left w:val="none" w:sz="0" w:space="0" w:color="auto"/>
        <w:bottom w:val="none" w:sz="0" w:space="0" w:color="auto"/>
        <w:right w:val="none" w:sz="0" w:space="0" w:color="auto"/>
      </w:divBdr>
    </w:div>
    <w:div w:id="1991446577">
      <w:bodyDiv w:val="1"/>
      <w:marLeft w:val="0"/>
      <w:marRight w:val="0"/>
      <w:marTop w:val="0"/>
      <w:marBottom w:val="0"/>
      <w:divBdr>
        <w:top w:val="none" w:sz="0" w:space="0" w:color="auto"/>
        <w:left w:val="none" w:sz="0" w:space="0" w:color="auto"/>
        <w:bottom w:val="none" w:sz="0" w:space="0" w:color="auto"/>
        <w:right w:val="none" w:sz="0" w:space="0" w:color="auto"/>
      </w:divBdr>
    </w:div>
    <w:div w:id="2094080927">
      <w:bodyDiv w:val="1"/>
      <w:marLeft w:val="0"/>
      <w:marRight w:val="0"/>
      <w:marTop w:val="0"/>
      <w:marBottom w:val="0"/>
      <w:divBdr>
        <w:top w:val="none" w:sz="0" w:space="0" w:color="auto"/>
        <w:left w:val="none" w:sz="0" w:space="0" w:color="auto"/>
        <w:bottom w:val="none" w:sz="0" w:space="0" w:color="auto"/>
        <w:right w:val="none" w:sz="0" w:space="0" w:color="auto"/>
      </w:divBdr>
    </w:div>
    <w:div w:id="2110350579">
      <w:bodyDiv w:val="1"/>
      <w:marLeft w:val="0"/>
      <w:marRight w:val="0"/>
      <w:marTop w:val="0"/>
      <w:marBottom w:val="0"/>
      <w:divBdr>
        <w:top w:val="none" w:sz="0" w:space="0" w:color="auto"/>
        <w:left w:val="none" w:sz="0" w:space="0" w:color="auto"/>
        <w:bottom w:val="none" w:sz="0" w:space="0" w:color="auto"/>
        <w:right w:val="none" w:sz="0" w:space="0" w:color="auto"/>
      </w:divBdr>
    </w:div>
    <w:div w:id="2132701998">
      <w:bodyDiv w:val="1"/>
      <w:marLeft w:val="0"/>
      <w:marRight w:val="0"/>
      <w:marTop w:val="0"/>
      <w:marBottom w:val="0"/>
      <w:divBdr>
        <w:top w:val="none" w:sz="0" w:space="0" w:color="auto"/>
        <w:left w:val="none" w:sz="0" w:space="0" w:color="auto"/>
        <w:bottom w:val="none" w:sz="0" w:space="0" w:color="auto"/>
        <w:right w:val="none" w:sz="0" w:space="0" w:color="auto"/>
      </w:divBdr>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ee.fr/fr/statistiques/23888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ee.fr/fr/statistiques/fichier/2383685/t_8210.x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telem.fr/guide-epargne/francais-et-epargne/comportement-epargn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ee.fr/fr/statistiques/fichier/2017607/REVPMEN16b_VE2_actifspatrimoniaux.pdf" TargetMode="External"/><Relationship Id="rId5" Type="http://schemas.openxmlformats.org/officeDocument/2006/relationships/webSettings" Target="webSettings.xml"/><Relationship Id="rId15" Type="http://schemas.openxmlformats.org/officeDocument/2006/relationships/hyperlink" Target="https://www.insee.fr/fr/statistiques/2412784"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ee.fr/fr/statistiques/2569410?sommaire=2587886&amp;q=taux+d%27%C3%A9pargne+m%C3%A9nages"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51DF2-5595-48C3-8427-32665C0D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1124</Words>
  <Characters>6183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6</cp:revision>
  <cp:lastPrinted>2015-07-04T16:47:00Z</cp:lastPrinted>
  <dcterms:created xsi:type="dcterms:W3CDTF">2017-03-13T08:17:00Z</dcterms:created>
  <dcterms:modified xsi:type="dcterms:W3CDTF">2017-03-13T13:25:00Z</dcterms:modified>
</cp:coreProperties>
</file>