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DB" w:rsidRPr="009738DB" w:rsidRDefault="009738DB" w:rsidP="009738DB">
      <w:pPr>
        <w:widowControl/>
        <w:autoSpaceDE/>
        <w:autoSpaceDN/>
        <w:adjustRightInd/>
        <w:jc w:val="center"/>
        <w:rPr>
          <w:rFonts w:cs="Times New Roman"/>
          <w:szCs w:val="24"/>
        </w:rPr>
      </w:pPr>
      <w:r w:rsidRPr="009738DB">
        <w:rPr>
          <w:rFonts w:cs="Times New Roman"/>
          <w:b/>
          <w:bCs/>
          <w:color w:val="4F81BD"/>
          <w:sz w:val="32"/>
          <w:szCs w:val="32"/>
        </w:rPr>
        <w:t>Comment les revenus et les prix influencent-ils les choix des consommateurs ? (2/4)</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jc w:val="center"/>
        <w:rPr>
          <w:rFonts w:cs="Times New Roman"/>
          <w:szCs w:val="24"/>
        </w:rPr>
      </w:pPr>
      <w:r w:rsidRPr="009738DB">
        <w:rPr>
          <w:rFonts w:cs="Times New Roman"/>
          <w:b/>
          <w:bCs/>
          <w:color w:val="4F81BD"/>
          <w:sz w:val="32"/>
          <w:szCs w:val="32"/>
        </w:rPr>
        <w:t>Comment les ménages utilisent-ils leur revenu disponible brut ?</w:t>
      </w:r>
    </w:p>
    <w:p w:rsidR="009738DB" w:rsidRPr="009738DB" w:rsidRDefault="009738DB" w:rsidP="009738DB">
      <w:pPr>
        <w:widowControl/>
        <w:autoSpaceDE/>
        <w:autoSpaceDN/>
        <w:adjustRightInd/>
        <w:spacing w:after="240"/>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rPr>
        <w:t>Document 1</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Considérons deux individus aux revenus mensuels très différents, l’un aux revenus modestes (M. Smicard), l’autre aux revenus élevés (M. Richard).</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u w:val="single"/>
        </w:rPr>
        <w:t>Vocabulaire :</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Propension à consommer = propension moyenne à consommer</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Taux d’épargne = propension à épargner  = propension moyenne à épargner</w:t>
      </w:r>
    </w:p>
    <w:p w:rsidR="009738DB" w:rsidRPr="009738DB" w:rsidRDefault="009738DB" w:rsidP="009738DB">
      <w:pPr>
        <w:widowControl/>
        <w:autoSpaceDE/>
        <w:autoSpaceDN/>
        <w:adjustRightInd/>
        <w:jc w:val="left"/>
        <w:rPr>
          <w:rFonts w:cs="Times New Roman"/>
          <w:szCs w:val="24"/>
        </w:rPr>
      </w:pPr>
    </w:p>
    <w:tbl>
      <w:tblPr>
        <w:tblW w:w="0" w:type="auto"/>
        <w:tblCellMar>
          <w:top w:w="15" w:type="dxa"/>
          <w:left w:w="15" w:type="dxa"/>
          <w:bottom w:w="15" w:type="dxa"/>
          <w:right w:w="15" w:type="dxa"/>
        </w:tblCellMar>
        <w:tblLook w:val="04A0"/>
      </w:tblPr>
      <w:tblGrid>
        <w:gridCol w:w="1396"/>
        <w:gridCol w:w="851"/>
        <w:gridCol w:w="1975"/>
        <w:gridCol w:w="1285"/>
        <w:gridCol w:w="2175"/>
        <w:gridCol w:w="1630"/>
      </w:tblGrid>
      <w:tr w:rsidR="009738DB" w:rsidRPr="009738DB" w:rsidTr="009738DB">
        <w:tc>
          <w:tcPr>
            <w:tcW w:w="139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jc w:val="left"/>
              <w:rPr>
                <w:rFonts w:cs="Times New Roman"/>
                <w:sz w:val="1"/>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RDB</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19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Consommation finale</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12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Épargne</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2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Propension à consommer</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Taux d’épargne</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r>
      <w:tr w:rsidR="009738DB" w:rsidRPr="009738DB" w:rsidTr="009738DB">
        <w:tc>
          <w:tcPr>
            <w:tcW w:w="139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rPr>
                <w:rFonts w:cs="Times New Roman"/>
                <w:szCs w:val="24"/>
              </w:rPr>
            </w:pPr>
            <w:r w:rsidRPr="009738DB">
              <w:rPr>
                <w:rFonts w:cs="Times New Roman"/>
                <w:color w:val="000000"/>
                <w:szCs w:val="24"/>
              </w:rPr>
              <w:t>M. Smicard</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jc w:val="right"/>
              <w:rPr>
                <w:rFonts w:cs="Times New Roman"/>
                <w:szCs w:val="24"/>
              </w:rPr>
            </w:pPr>
            <w:r w:rsidRPr="009738DB">
              <w:rPr>
                <w:rFonts w:cs="Times New Roman"/>
                <w:color w:val="000000"/>
                <w:szCs w:val="24"/>
              </w:rPr>
              <w:t>1 000</w:t>
            </w:r>
          </w:p>
        </w:tc>
        <w:tc>
          <w:tcPr>
            <w:tcW w:w="19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jc w:val="right"/>
              <w:rPr>
                <w:rFonts w:cs="Times New Roman"/>
                <w:szCs w:val="24"/>
              </w:rPr>
            </w:pPr>
            <w:r w:rsidRPr="009738DB">
              <w:rPr>
                <w:rFonts w:cs="Times New Roman"/>
                <w:color w:val="000000"/>
                <w:szCs w:val="24"/>
              </w:rPr>
              <w:t>1 000</w:t>
            </w:r>
          </w:p>
        </w:tc>
        <w:tc>
          <w:tcPr>
            <w:tcW w:w="12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2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r>
      <w:tr w:rsidR="009738DB" w:rsidRPr="009738DB" w:rsidTr="009738DB">
        <w:tc>
          <w:tcPr>
            <w:tcW w:w="139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rPr>
                <w:rFonts w:cs="Times New Roman"/>
                <w:szCs w:val="24"/>
              </w:rPr>
            </w:pPr>
            <w:r w:rsidRPr="009738DB">
              <w:rPr>
                <w:rFonts w:cs="Times New Roman"/>
                <w:color w:val="000000"/>
                <w:szCs w:val="24"/>
              </w:rPr>
              <w:t>M. Richard</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jc w:val="right"/>
              <w:rPr>
                <w:rFonts w:cs="Times New Roman"/>
                <w:szCs w:val="24"/>
              </w:rPr>
            </w:pPr>
            <w:r w:rsidRPr="009738DB">
              <w:rPr>
                <w:rFonts w:cs="Times New Roman"/>
                <w:color w:val="000000"/>
                <w:szCs w:val="24"/>
              </w:rPr>
              <w:t>10 000</w:t>
            </w:r>
          </w:p>
        </w:tc>
        <w:tc>
          <w:tcPr>
            <w:tcW w:w="19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jc w:val="right"/>
              <w:rPr>
                <w:rFonts w:cs="Times New Roman"/>
                <w:szCs w:val="24"/>
              </w:rPr>
            </w:pPr>
            <w:r w:rsidRPr="009738DB">
              <w:rPr>
                <w:rFonts w:cs="Times New Roman"/>
                <w:color w:val="000000"/>
                <w:szCs w:val="24"/>
              </w:rPr>
              <w:t>5 000</w:t>
            </w:r>
          </w:p>
        </w:tc>
        <w:tc>
          <w:tcPr>
            <w:tcW w:w="12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21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r>
    </w:tbl>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numPr>
          <w:ilvl w:val="0"/>
          <w:numId w:val="22"/>
        </w:numPr>
        <w:autoSpaceDE/>
        <w:autoSpaceDN/>
        <w:adjustRightInd/>
        <w:textAlignment w:val="baseline"/>
        <w:rPr>
          <w:rFonts w:cs="Times New Roman"/>
          <w:color w:val="000000"/>
          <w:szCs w:val="24"/>
        </w:rPr>
      </w:pPr>
      <w:r w:rsidRPr="009738DB">
        <w:rPr>
          <w:rFonts w:cs="Times New Roman"/>
          <w:color w:val="000000"/>
          <w:szCs w:val="24"/>
        </w:rPr>
        <w:t xml:space="preserve">Calculez le montant en € de l’épargne de ces deux individus et remplissez la colonne </w:t>
      </w:r>
      <w:r>
        <w:rPr>
          <w:rFonts w:cs="Times New Roman"/>
          <w:color w:val="000000"/>
          <w:szCs w:val="24"/>
        </w:rPr>
        <w:t>« </w:t>
      </w:r>
      <w:r w:rsidRPr="009738DB">
        <w:rPr>
          <w:rFonts w:cs="Times New Roman"/>
          <w:color w:val="000000"/>
          <w:szCs w:val="24"/>
        </w:rPr>
        <w:t>Épargne</w:t>
      </w:r>
      <w:r>
        <w:rPr>
          <w:rFonts w:cs="Times New Roman"/>
          <w:color w:val="000000"/>
          <w:szCs w:val="24"/>
        </w:rPr>
        <w:t> »</w:t>
      </w:r>
      <w:r w:rsidRPr="009738DB">
        <w:rPr>
          <w:rFonts w:cs="Times New Roman"/>
          <w:color w:val="000000"/>
          <w:szCs w:val="24"/>
        </w:rPr>
        <w:t xml:space="preserve"> du tableau.</w:t>
      </w:r>
    </w:p>
    <w:p w:rsidR="009738DB" w:rsidRPr="009738DB" w:rsidRDefault="009738DB" w:rsidP="009738DB">
      <w:pPr>
        <w:widowControl/>
        <w:numPr>
          <w:ilvl w:val="0"/>
          <w:numId w:val="22"/>
        </w:numPr>
        <w:autoSpaceDE/>
        <w:autoSpaceDN/>
        <w:adjustRightInd/>
        <w:textAlignment w:val="baseline"/>
        <w:rPr>
          <w:rFonts w:cs="Times New Roman"/>
          <w:color w:val="000000"/>
          <w:szCs w:val="24"/>
        </w:rPr>
      </w:pPr>
      <w:r w:rsidRPr="009738DB">
        <w:rPr>
          <w:rFonts w:cs="Times New Roman"/>
          <w:color w:val="000000"/>
          <w:szCs w:val="24"/>
        </w:rPr>
        <w:t>Comment expliquer la différence de comportement en matière d’épargne entre ces deux individus ?</w:t>
      </w:r>
    </w:p>
    <w:p w:rsidR="009738DB" w:rsidRPr="009738DB" w:rsidRDefault="009738DB" w:rsidP="009738DB">
      <w:pPr>
        <w:widowControl/>
        <w:numPr>
          <w:ilvl w:val="0"/>
          <w:numId w:val="22"/>
        </w:numPr>
        <w:autoSpaceDE/>
        <w:autoSpaceDN/>
        <w:adjustRightInd/>
        <w:textAlignment w:val="baseline"/>
        <w:rPr>
          <w:rFonts w:cs="Times New Roman"/>
          <w:color w:val="000000"/>
          <w:szCs w:val="24"/>
        </w:rPr>
      </w:pPr>
      <w:r w:rsidRPr="009738DB">
        <w:rPr>
          <w:rFonts w:cs="Times New Roman"/>
          <w:color w:val="000000"/>
          <w:szCs w:val="24"/>
        </w:rPr>
        <w:t>Calculez la propension à consommer en % de ces deux individus et remplissez la colonne « Propension à consommer (en %) » du tableau.</w:t>
      </w:r>
    </w:p>
    <w:p w:rsidR="009738DB" w:rsidRPr="009738DB" w:rsidRDefault="009738DB" w:rsidP="009738DB">
      <w:pPr>
        <w:widowControl/>
        <w:numPr>
          <w:ilvl w:val="0"/>
          <w:numId w:val="22"/>
        </w:numPr>
        <w:autoSpaceDE/>
        <w:autoSpaceDN/>
        <w:adjustRightInd/>
        <w:textAlignment w:val="baseline"/>
        <w:rPr>
          <w:rFonts w:cs="Times New Roman"/>
          <w:color w:val="000000"/>
          <w:szCs w:val="24"/>
        </w:rPr>
      </w:pPr>
      <w:r w:rsidRPr="009738DB">
        <w:rPr>
          <w:rFonts w:cs="Times New Roman"/>
          <w:color w:val="000000"/>
          <w:szCs w:val="24"/>
        </w:rPr>
        <w:t>Calculez le taux d’épargne en % de ces deux individus et remplissez la colonne « Taux d’épargne (en %) » du tableau.</w:t>
      </w:r>
    </w:p>
    <w:p w:rsidR="009738DB" w:rsidRPr="009738DB" w:rsidRDefault="009738DB" w:rsidP="009738DB">
      <w:pPr>
        <w:widowControl/>
        <w:numPr>
          <w:ilvl w:val="0"/>
          <w:numId w:val="22"/>
        </w:numPr>
        <w:autoSpaceDE/>
        <w:autoSpaceDN/>
        <w:adjustRightInd/>
        <w:textAlignment w:val="baseline"/>
        <w:rPr>
          <w:rFonts w:cs="Times New Roman"/>
          <w:color w:val="000000"/>
          <w:szCs w:val="24"/>
        </w:rPr>
      </w:pPr>
      <w:r w:rsidRPr="009738DB">
        <w:rPr>
          <w:rFonts w:cs="Times New Roman"/>
          <w:color w:val="000000"/>
          <w:szCs w:val="24"/>
        </w:rPr>
        <w:t>Déduisez  de vos résultats une  relation entre le niveau de RDB des ménages et leur propension à consommer et à épargner.</w:t>
      </w:r>
    </w:p>
    <w:p w:rsidR="009738DB" w:rsidRDefault="009738DB">
      <w:pPr>
        <w:widowControl/>
        <w:autoSpaceDE/>
        <w:autoSpaceDN/>
        <w:adjustRightInd/>
        <w:spacing w:after="200" w:line="276" w:lineRule="auto"/>
        <w:jc w:val="left"/>
        <w:rPr>
          <w:rFonts w:cs="Times New Roman"/>
          <w:b/>
          <w:bCs/>
          <w:color w:val="000000"/>
          <w:szCs w:val="24"/>
        </w:rPr>
      </w:pPr>
      <w:r>
        <w:rPr>
          <w:rFonts w:cs="Times New Roman"/>
          <w:b/>
          <w:bCs/>
          <w:color w:val="000000"/>
          <w:szCs w:val="24"/>
        </w:rPr>
        <w:br w:type="page"/>
      </w: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rPr>
        <w:lastRenderedPageBreak/>
        <w:t xml:space="preserve">Document 2 </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jc w:val="center"/>
        <w:rPr>
          <w:rFonts w:cs="Times New Roman"/>
          <w:szCs w:val="24"/>
        </w:rPr>
      </w:pPr>
      <w:r w:rsidRPr="009738DB">
        <w:rPr>
          <w:rFonts w:cs="Times New Roman"/>
          <w:b/>
          <w:bCs/>
          <w:color w:val="000000"/>
          <w:szCs w:val="24"/>
        </w:rPr>
        <w:t>L’évolution du partage du RDB des ménages</w:t>
      </w:r>
    </w:p>
    <w:p w:rsidR="009738DB" w:rsidRPr="009738DB" w:rsidRDefault="009738DB" w:rsidP="009738DB">
      <w:pPr>
        <w:widowControl/>
        <w:autoSpaceDE/>
        <w:autoSpaceDN/>
        <w:adjustRightInd/>
        <w:rPr>
          <w:rFonts w:cs="Times New Roman"/>
          <w:szCs w:val="24"/>
        </w:rPr>
      </w:pPr>
      <w:r>
        <w:rPr>
          <w:rFonts w:cs="Times New Roman"/>
          <w:noProof/>
          <w:color w:val="000000"/>
          <w:szCs w:val="24"/>
        </w:rPr>
        <w:drawing>
          <wp:inline distT="0" distB="0" distL="0" distR="0">
            <wp:extent cx="5764530" cy="3768725"/>
            <wp:effectExtent l="19050" t="0" r="7620" b="0"/>
            <wp:docPr id="1" name="Image 1" descr="https://lh5.googleusercontent.com/Xr7JrdBFFQvf8eV1CgN1sSp9A4W-86kq7SenSF0mFp4W4tWz7FB5F0kssLruDhtcwJ4BkRfmbrzPuTIbs8rNu48cDVHN5O4wA-11G7l7PGotXAPEPKrvBvw5VIt4nQTHaGuvDaV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r7JrdBFFQvf8eV1CgN1sSp9A4W-86kq7SenSF0mFp4W4tWz7FB5F0kssLruDhtcwJ4BkRfmbrzPuTIbs8rNu48cDVHN5O4wA-11G7l7PGotXAPEPKrvBvw5VIt4nQTHaGuvDaV_"/>
                    <pic:cNvPicPr>
                      <a:picLocks noChangeAspect="1" noChangeArrowheads="1"/>
                    </pic:cNvPicPr>
                  </pic:nvPicPr>
                  <pic:blipFill>
                    <a:blip r:embed="rId7" cstate="print"/>
                    <a:srcRect/>
                    <a:stretch>
                      <a:fillRect/>
                    </a:stretch>
                  </pic:blipFill>
                  <pic:spPr bwMode="auto">
                    <a:xfrm>
                      <a:off x="0" y="0"/>
                      <a:ext cx="5764530" cy="3768725"/>
                    </a:xfrm>
                    <a:prstGeom prst="rect">
                      <a:avLst/>
                    </a:prstGeom>
                    <a:noFill/>
                    <a:ln w="9525">
                      <a:noFill/>
                      <a:miter lim="800000"/>
                      <a:headEnd/>
                      <a:tailEnd/>
                    </a:ln>
                  </pic:spPr>
                </pic:pic>
              </a:graphicData>
            </a:graphic>
          </wp:inline>
        </w:drawing>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jc w:val="right"/>
        <w:rPr>
          <w:rFonts w:cs="Times New Roman"/>
          <w:szCs w:val="24"/>
        </w:rPr>
      </w:pPr>
      <w:r w:rsidRPr="009738DB">
        <w:rPr>
          <w:rFonts w:cs="Times New Roman"/>
          <w:b/>
          <w:bCs/>
          <w:i/>
          <w:iCs/>
          <w:color w:val="000000"/>
          <w:szCs w:val="24"/>
        </w:rPr>
        <w:t>Source : INSEE, comptes nationaux base 2010 (</w:t>
      </w:r>
      <w:hyperlink r:id="rId8" w:history="1">
        <w:r w:rsidRPr="009738DB">
          <w:rPr>
            <w:rFonts w:cs="Times New Roman"/>
            <w:b/>
            <w:bCs/>
            <w:i/>
            <w:iCs/>
            <w:color w:val="1155CC"/>
            <w:szCs w:val="24"/>
            <w:u w:val="single"/>
          </w:rPr>
          <w:t>tableau 7.401</w:t>
        </w:r>
      </w:hyperlink>
      <w:r w:rsidRPr="009738DB">
        <w:rPr>
          <w:rFonts w:cs="Times New Roman"/>
          <w:b/>
          <w:bCs/>
          <w:i/>
          <w:iCs/>
          <w:color w:val="000000"/>
          <w:szCs w:val="24"/>
        </w:rPr>
        <w:t xml:space="preserve"> pour le RDB et </w:t>
      </w:r>
      <w:hyperlink r:id="rId9" w:history="1">
        <w:r w:rsidRPr="009738DB">
          <w:rPr>
            <w:rFonts w:cs="Times New Roman"/>
            <w:b/>
            <w:bCs/>
            <w:i/>
            <w:iCs/>
            <w:color w:val="1155CC"/>
            <w:szCs w:val="24"/>
            <w:u w:val="single"/>
          </w:rPr>
          <w:t>tableau 5.203 pour l’indice des prix</w:t>
        </w:r>
      </w:hyperlink>
      <w:r w:rsidRPr="009738DB">
        <w:rPr>
          <w:rFonts w:cs="Times New Roman"/>
          <w:b/>
          <w:bCs/>
          <w:i/>
          <w:iCs/>
          <w:color w:val="000000"/>
          <w:szCs w:val="24"/>
        </w:rPr>
        <w:t>).</w:t>
      </w:r>
    </w:p>
    <w:p w:rsidR="009738DB" w:rsidRPr="009738DB" w:rsidRDefault="009738DB" w:rsidP="009738DB">
      <w:pPr>
        <w:widowControl/>
        <w:autoSpaceDE/>
        <w:autoSpaceDN/>
        <w:adjustRightInd/>
        <w:spacing w:after="240"/>
        <w:jc w:val="left"/>
        <w:rPr>
          <w:rFonts w:cs="Times New Roman"/>
          <w:szCs w:val="24"/>
        </w:rPr>
      </w:pPr>
    </w:p>
    <w:p w:rsidR="009738DB" w:rsidRPr="009738DB" w:rsidRDefault="009738DB" w:rsidP="009738DB">
      <w:pPr>
        <w:widowControl/>
        <w:numPr>
          <w:ilvl w:val="0"/>
          <w:numId w:val="21"/>
        </w:numPr>
        <w:autoSpaceDE/>
        <w:autoSpaceDN/>
        <w:adjustRightInd/>
        <w:textAlignment w:val="baseline"/>
        <w:rPr>
          <w:rFonts w:cs="Times New Roman"/>
          <w:color w:val="000000"/>
          <w:szCs w:val="24"/>
        </w:rPr>
      </w:pPr>
      <w:r w:rsidRPr="009738DB">
        <w:rPr>
          <w:rFonts w:cs="Times New Roman"/>
          <w:color w:val="000000"/>
          <w:szCs w:val="24"/>
        </w:rPr>
        <w:t>Quel est le montant du RDB des ménages pour la dernière année disponible ?</w:t>
      </w:r>
    </w:p>
    <w:p w:rsidR="009738DB" w:rsidRPr="009738DB" w:rsidRDefault="009738DB" w:rsidP="009738DB">
      <w:pPr>
        <w:widowControl/>
        <w:numPr>
          <w:ilvl w:val="0"/>
          <w:numId w:val="21"/>
        </w:numPr>
        <w:autoSpaceDE/>
        <w:autoSpaceDN/>
        <w:adjustRightInd/>
        <w:textAlignment w:val="baseline"/>
        <w:rPr>
          <w:rFonts w:cs="Times New Roman"/>
          <w:color w:val="000000"/>
          <w:szCs w:val="24"/>
        </w:rPr>
      </w:pPr>
      <w:r w:rsidRPr="009738DB">
        <w:rPr>
          <w:rFonts w:cs="Times New Roman"/>
          <w:color w:val="000000"/>
          <w:szCs w:val="24"/>
        </w:rPr>
        <w:t>Quelle était la valeur de la propension moyenne à consommer des ménages en 1949 ?</w:t>
      </w:r>
    </w:p>
    <w:p w:rsidR="009738DB" w:rsidRPr="009738DB" w:rsidRDefault="009738DB" w:rsidP="009738DB">
      <w:pPr>
        <w:widowControl/>
        <w:numPr>
          <w:ilvl w:val="0"/>
          <w:numId w:val="21"/>
        </w:numPr>
        <w:autoSpaceDE/>
        <w:autoSpaceDN/>
        <w:adjustRightInd/>
        <w:textAlignment w:val="baseline"/>
        <w:rPr>
          <w:rFonts w:cs="Times New Roman"/>
          <w:color w:val="000000"/>
          <w:szCs w:val="24"/>
        </w:rPr>
      </w:pPr>
      <w:r w:rsidRPr="009738DB">
        <w:rPr>
          <w:rFonts w:cs="Times New Roman"/>
          <w:color w:val="000000"/>
          <w:szCs w:val="24"/>
        </w:rPr>
        <w:t>Quel était le taux d’épargne des ménages en 1949 ?</w:t>
      </w:r>
    </w:p>
    <w:p w:rsidR="009738DB" w:rsidRPr="009738DB" w:rsidRDefault="009738DB" w:rsidP="009738DB">
      <w:pPr>
        <w:widowControl/>
        <w:numPr>
          <w:ilvl w:val="0"/>
          <w:numId w:val="21"/>
        </w:numPr>
        <w:autoSpaceDE/>
        <w:autoSpaceDN/>
        <w:adjustRightInd/>
        <w:textAlignment w:val="baseline"/>
        <w:rPr>
          <w:rFonts w:cs="Times New Roman"/>
          <w:color w:val="000000"/>
          <w:szCs w:val="24"/>
        </w:rPr>
      </w:pPr>
      <w:r w:rsidRPr="009738DB">
        <w:rPr>
          <w:rFonts w:cs="Times New Roman"/>
          <w:color w:val="000000"/>
          <w:szCs w:val="24"/>
        </w:rPr>
        <w:t>La consommation finale des ménages est-elle plus faible en 2000 qu’en 1990 ?</w:t>
      </w:r>
    </w:p>
    <w:p w:rsidR="009738DB" w:rsidRPr="009738DB" w:rsidRDefault="009738DB" w:rsidP="009738DB">
      <w:pPr>
        <w:widowControl/>
        <w:numPr>
          <w:ilvl w:val="0"/>
          <w:numId w:val="21"/>
        </w:numPr>
        <w:autoSpaceDE/>
        <w:autoSpaceDN/>
        <w:adjustRightInd/>
        <w:textAlignment w:val="baseline"/>
        <w:rPr>
          <w:rFonts w:cs="Times New Roman"/>
          <w:color w:val="000000"/>
          <w:szCs w:val="24"/>
        </w:rPr>
      </w:pPr>
      <w:r w:rsidRPr="009738DB">
        <w:rPr>
          <w:rFonts w:cs="Times New Roman"/>
          <w:color w:val="000000"/>
          <w:szCs w:val="24"/>
        </w:rPr>
        <w:t>Pourriez-vous distinguer des grandes périodes dans l’évolution du partage du RDB des ménages depuis 1949 ?</w:t>
      </w:r>
    </w:p>
    <w:p w:rsidR="009738DB" w:rsidRPr="009738DB" w:rsidRDefault="009738DB" w:rsidP="009738DB">
      <w:pPr>
        <w:widowControl/>
        <w:numPr>
          <w:ilvl w:val="0"/>
          <w:numId w:val="21"/>
        </w:numPr>
        <w:autoSpaceDE/>
        <w:autoSpaceDN/>
        <w:adjustRightInd/>
        <w:textAlignment w:val="baseline"/>
        <w:rPr>
          <w:rFonts w:cs="Times New Roman"/>
          <w:color w:val="000000"/>
          <w:szCs w:val="24"/>
        </w:rPr>
      </w:pPr>
      <w:r w:rsidRPr="009738DB">
        <w:rPr>
          <w:rFonts w:cs="Times New Roman"/>
          <w:color w:val="000000"/>
          <w:szCs w:val="24"/>
        </w:rPr>
        <w:t>L’évolution de ce partage est-elle dépendante de l’évolution du RDB des ménages depuis 1949 ?</w:t>
      </w:r>
    </w:p>
    <w:p w:rsidR="009738DB" w:rsidRDefault="009738DB">
      <w:pPr>
        <w:widowControl/>
        <w:autoSpaceDE/>
        <w:autoSpaceDN/>
        <w:adjustRightInd/>
        <w:spacing w:after="200" w:line="276" w:lineRule="auto"/>
        <w:jc w:val="left"/>
        <w:rPr>
          <w:rFonts w:cs="Times New Roman"/>
          <w:b/>
          <w:bCs/>
          <w:color w:val="000000"/>
          <w:szCs w:val="24"/>
        </w:rPr>
      </w:pPr>
      <w:r>
        <w:rPr>
          <w:rFonts w:cs="Times New Roman"/>
          <w:b/>
          <w:bCs/>
          <w:color w:val="000000"/>
          <w:szCs w:val="24"/>
        </w:rPr>
        <w:br w:type="page"/>
      </w: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rPr>
        <w:lastRenderedPageBreak/>
        <w:t>Document 3</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Pr>
          <w:rFonts w:cs="Times New Roman"/>
          <w:noProof/>
          <w:color w:val="000000"/>
          <w:szCs w:val="24"/>
        </w:rPr>
        <w:drawing>
          <wp:inline distT="0" distB="0" distL="0" distR="0">
            <wp:extent cx="5764530" cy="3768725"/>
            <wp:effectExtent l="19050" t="0" r="7620" b="0"/>
            <wp:docPr id="2" name="Image 2" descr="https://lh5.googleusercontent.com/xmiXU7ywvDj-GjCq1hOjQDN0-2Ss-DJA7dmuT3DXJruPJ-K5BH9o4hgORnSokx8GqnA6PVIV5lwgN6y1OLo0i793RDdLv68H2gnDFX8HxlCksZC69oViTRksBZIjZ4bwPERihM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xmiXU7ywvDj-GjCq1hOjQDN0-2Ss-DJA7dmuT3DXJruPJ-K5BH9o4hgORnSokx8GqnA6PVIV5lwgN6y1OLo0i793RDdLv68H2gnDFX8HxlCksZC69oViTRksBZIjZ4bwPERihMQL"/>
                    <pic:cNvPicPr>
                      <a:picLocks noChangeAspect="1" noChangeArrowheads="1"/>
                    </pic:cNvPicPr>
                  </pic:nvPicPr>
                  <pic:blipFill>
                    <a:blip r:embed="rId10" cstate="print"/>
                    <a:srcRect/>
                    <a:stretch>
                      <a:fillRect/>
                    </a:stretch>
                  </pic:blipFill>
                  <pic:spPr bwMode="auto">
                    <a:xfrm>
                      <a:off x="0" y="0"/>
                      <a:ext cx="5764530" cy="3768725"/>
                    </a:xfrm>
                    <a:prstGeom prst="rect">
                      <a:avLst/>
                    </a:prstGeom>
                    <a:noFill/>
                    <a:ln w="9525">
                      <a:noFill/>
                      <a:miter lim="800000"/>
                      <a:headEnd/>
                      <a:tailEnd/>
                    </a:ln>
                  </pic:spPr>
                </pic:pic>
              </a:graphicData>
            </a:graphic>
          </wp:inline>
        </w:drawing>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jc w:val="right"/>
        <w:rPr>
          <w:rFonts w:cs="Times New Roman"/>
          <w:szCs w:val="24"/>
        </w:rPr>
      </w:pPr>
      <w:r w:rsidRPr="009738DB">
        <w:rPr>
          <w:rFonts w:cs="Times New Roman"/>
          <w:b/>
          <w:bCs/>
          <w:i/>
          <w:iCs/>
          <w:color w:val="000000"/>
          <w:szCs w:val="24"/>
        </w:rPr>
        <w:t xml:space="preserve">Source : INSEE, </w:t>
      </w:r>
      <w:hyperlink r:id="rId11" w:history="1">
        <w:r w:rsidRPr="009738DB">
          <w:rPr>
            <w:rFonts w:cs="Times New Roman"/>
            <w:b/>
            <w:bCs/>
            <w:i/>
            <w:iCs/>
            <w:color w:val="1155CC"/>
            <w:szCs w:val="24"/>
            <w:u w:val="single"/>
          </w:rPr>
          <w:t>Revenu, consommation et épargne par catégorie de ménages en 2003</w:t>
        </w:r>
      </w:hyperlink>
      <w:r w:rsidRPr="009738DB">
        <w:rPr>
          <w:rFonts w:cs="Times New Roman"/>
          <w:b/>
          <w:bCs/>
          <w:i/>
          <w:iCs/>
          <w:color w:val="000000"/>
          <w:szCs w:val="24"/>
        </w:rPr>
        <w:t>, le 20/06/2013</w:t>
      </w:r>
    </w:p>
    <w:p w:rsidR="009738DB" w:rsidRPr="009738DB" w:rsidRDefault="009738DB" w:rsidP="009738DB">
      <w:pPr>
        <w:widowControl/>
        <w:autoSpaceDE/>
        <w:autoSpaceDN/>
        <w:adjustRightInd/>
        <w:spacing w:after="240"/>
        <w:jc w:val="left"/>
        <w:rPr>
          <w:rFonts w:cs="Times New Roman"/>
          <w:szCs w:val="24"/>
        </w:rPr>
      </w:pPr>
    </w:p>
    <w:p w:rsidR="009738DB" w:rsidRPr="009738DB" w:rsidRDefault="009738DB" w:rsidP="009738DB">
      <w:pPr>
        <w:widowControl/>
        <w:numPr>
          <w:ilvl w:val="0"/>
          <w:numId w:val="23"/>
        </w:numPr>
        <w:autoSpaceDE/>
        <w:autoSpaceDN/>
        <w:adjustRightInd/>
        <w:textAlignment w:val="baseline"/>
        <w:rPr>
          <w:rFonts w:cs="Times New Roman"/>
          <w:color w:val="000000"/>
          <w:szCs w:val="24"/>
        </w:rPr>
      </w:pPr>
      <w:r w:rsidRPr="009738DB">
        <w:rPr>
          <w:rFonts w:cs="Times New Roman"/>
          <w:color w:val="000000"/>
          <w:szCs w:val="24"/>
        </w:rPr>
        <w:t>Faites une phrase avec les valeurs représentatives du comportement des ménages de 70 ans et plus.</w:t>
      </w:r>
    </w:p>
    <w:p w:rsidR="009738DB" w:rsidRPr="009738DB" w:rsidRDefault="009738DB" w:rsidP="009738DB">
      <w:pPr>
        <w:widowControl/>
        <w:numPr>
          <w:ilvl w:val="0"/>
          <w:numId w:val="23"/>
        </w:numPr>
        <w:autoSpaceDE/>
        <w:autoSpaceDN/>
        <w:adjustRightInd/>
        <w:textAlignment w:val="baseline"/>
        <w:rPr>
          <w:rFonts w:cs="Times New Roman"/>
          <w:color w:val="000000"/>
          <w:szCs w:val="24"/>
        </w:rPr>
      </w:pPr>
      <w:r w:rsidRPr="009738DB">
        <w:rPr>
          <w:rFonts w:cs="Times New Roman"/>
          <w:color w:val="000000"/>
          <w:szCs w:val="24"/>
        </w:rPr>
        <w:t>Comment les jeunes ménages de moins de 30 ans peuvent-ils avoir une propension moyenne à consommer supérieure à leur RDB ?</w:t>
      </w:r>
    </w:p>
    <w:p w:rsidR="009738DB" w:rsidRPr="009738DB" w:rsidRDefault="009738DB" w:rsidP="009738DB">
      <w:pPr>
        <w:widowControl/>
        <w:numPr>
          <w:ilvl w:val="0"/>
          <w:numId w:val="23"/>
        </w:numPr>
        <w:autoSpaceDE/>
        <w:autoSpaceDN/>
        <w:adjustRightInd/>
        <w:textAlignment w:val="baseline"/>
        <w:rPr>
          <w:rFonts w:cs="Times New Roman"/>
          <w:color w:val="000000"/>
          <w:szCs w:val="24"/>
        </w:rPr>
      </w:pPr>
      <w:r w:rsidRPr="009738DB">
        <w:rPr>
          <w:rFonts w:cs="Times New Roman"/>
          <w:color w:val="000000"/>
          <w:szCs w:val="24"/>
        </w:rPr>
        <w:t>Comment se modifie le partage du RDB des ménages au fur et à mesure que ceux-ci vieillissent ?</w:t>
      </w:r>
    </w:p>
    <w:p w:rsidR="009738DB" w:rsidRPr="009738DB" w:rsidRDefault="009738DB" w:rsidP="009738DB">
      <w:pPr>
        <w:widowControl/>
        <w:numPr>
          <w:ilvl w:val="0"/>
          <w:numId w:val="23"/>
        </w:numPr>
        <w:autoSpaceDE/>
        <w:autoSpaceDN/>
        <w:adjustRightInd/>
        <w:textAlignment w:val="baseline"/>
        <w:rPr>
          <w:rFonts w:cs="Times New Roman"/>
          <w:color w:val="000000"/>
          <w:szCs w:val="24"/>
        </w:rPr>
      </w:pPr>
      <w:r w:rsidRPr="009738DB">
        <w:rPr>
          <w:rFonts w:cs="Times New Roman"/>
          <w:color w:val="000000"/>
          <w:szCs w:val="24"/>
        </w:rPr>
        <w:t>Pourriez-vous expliquer ces modifications ?</w:t>
      </w:r>
    </w:p>
    <w:p w:rsidR="009738DB" w:rsidRDefault="009738DB">
      <w:pPr>
        <w:widowControl/>
        <w:autoSpaceDE/>
        <w:autoSpaceDN/>
        <w:adjustRightInd/>
        <w:spacing w:after="200" w:line="276" w:lineRule="auto"/>
        <w:jc w:val="left"/>
        <w:rPr>
          <w:rFonts w:cs="Times New Roman"/>
          <w:b/>
          <w:bCs/>
          <w:color w:val="000000"/>
          <w:szCs w:val="24"/>
        </w:rPr>
      </w:pPr>
      <w:r>
        <w:rPr>
          <w:rFonts w:cs="Times New Roman"/>
          <w:b/>
          <w:bCs/>
          <w:color w:val="000000"/>
          <w:szCs w:val="24"/>
        </w:rPr>
        <w:br w:type="page"/>
      </w: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rPr>
        <w:lastRenderedPageBreak/>
        <w:t>Document 4</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Depuis le début de la crise, la consommation des ménages français continue d’augmenter mais beaucoup moins vite qu’avant la crise. Entre 2000 et 2007, elle augmentait en moyenne de 2,1 % par an. Depuis 2008, la consommation augmente de seulement 0,7 % par an. En 2011, l’augmentation de la consommation a été fortement ralentie : seulement 0,3 % par rapport à 2010, après une hausse de 1,4 % entre 2009 et 2010. En 2012, les dépenses de consommation baissent de 0,4 %. En 60 ans, c'est le deuxième recul de la consommation après celui de 1993 (- 0,2 %). […]</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La consommation des ménages dépend, en premier lieu, du niveau de revenu. La crise économique a fait stagner les salaires. Le ralentissement du pouvoir d’achat  explique plus de la moitié du ralentissement de la consommation des ménages.</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La hausse du taux d’épargne explique une autre partie du ralentissement de la consommation des ménages. Dans les périodes de ralentissement économique, les ménages favorisent l’épargne de précaution. Les Français ont largement privilégié l’épargne, même si leur pouvoir d’achat a augmenté très faiblement. En effet, l’inflation a été plus forte que la hausse des revenus.</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La montée du chômage et les incertitudes croissantes sur l’emploi ont renforcé le pessimisme des Français qui ont préféré augmenter leur taux d’épargne que leur consommation. Entre 2008 et 2012, le taux d’épargne est en moyenne de 16 %. Il a gagné 1 point depuis le début des années 2000.</w:t>
      </w:r>
    </w:p>
    <w:p w:rsidR="009738DB" w:rsidRPr="009738DB" w:rsidRDefault="009738DB" w:rsidP="009738DB">
      <w:pPr>
        <w:widowControl/>
        <w:autoSpaceDE/>
        <w:autoSpaceDN/>
        <w:adjustRightInd/>
        <w:jc w:val="left"/>
        <w:rPr>
          <w:rFonts w:cs="Times New Roman"/>
          <w:szCs w:val="24"/>
        </w:rPr>
      </w:pPr>
    </w:p>
    <w:p w:rsidR="009738DB" w:rsidRPr="009738DB" w:rsidRDefault="00382A32" w:rsidP="009738DB">
      <w:pPr>
        <w:widowControl/>
        <w:autoSpaceDE/>
        <w:autoSpaceDN/>
        <w:adjustRightInd/>
        <w:jc w:val="right"/>
        <w:rPr>
          <w:rFonts w:cs="Times New Roman"/>
          <w:szCs w:val="24"/>
        </w:rPr>
      </w:pPr>
      <w:hyperlink r:id="rId12" w:history="1">
        <w:r w:rsidR="009738DB" w:rsidRPr="009738DB">
          <w:rPr>
            <w:rFonts w:cs="Times New Roman"/>
            <w:b/>
            <w:bCs/>
            <w:i/>
            <w:iCs/>
            <w:color w:val="0000FF"/>
            <w:szCs w:val="24"/>
            <w:u w:val="single"/>
          </w:rPr>
          <w:t>lafinancepourtous.com</w:t>
        </w:r>
      </w:hyperlink>
    </w:p>
    <w:p w:rsidR="009738DB" w:rsidRPr="009738DB" w:rsidRDefault="009738DB" w:rsidP="009738DB">
      <w:pPr>
        <w:widowControl/>
        <w:autoSpaceDE/>
        <w:autoSpaceDN/>
        <w:adjustRightInd/>
        <w:spacing w:after="240"/>
        <w:jc w:val="left"/>
        <w:rPr>
          <w:rFonts w:cs="Times New Roman"/>
          <w:szCs w:val="24"/>
        </w:rPr>
      </w:pPr>
    </w:p>
    <w:p w:rsidR="009738DB" w:rsidRPr="009738DB" w:rsidRDefault="009738DB" w:rsidP="009738DB">
      <w:pPr>
        <w:widowControl/>
        <w:numPr>
          <w:ilvl w:val="0"/>
          <w:numId w:val="24"/>
        </w:numPr>
        <w:autoSpaceDE/>
        <w:autoSpaceDN/>
        <w:adjustRightInd/>
        <w:textAlignment w:val="baseline"/>
        <w:rPr>
          <w:rFonts w:cs="Times New Roman"/>
          <w:color w:val="000000"/>
          <w:szCs w:val="24"/>
        </w:rPr>
      </w:pPr>
      <w:r w:rsidRPr="009738DB">
        <w:rPr>
          <w:rFonts w:cs="Times New Roman"/>
          <w:color w:val="000000"/>
          <w:szCs w:val="24"/>
        </w:rPr>
        <w:t>Est-il fréquent que la consommation finale des ménages se réduise ?</w:t>
      </w:r>
    </w:p>
    <w:p w:rsidR="009738DB" w:rsidRPr="009738DB" w:rsidRDefault="009738DB" w:rsidP="009738DB">
      <w:pPr>
        <w:widowControl/>
        <w:numPr>
          <w:ilvl w:val="0"/>
          <w:numId w:val="24"/>
        </w:numPr>
        <w:autoSpaceDE/>
        <w:autoSpaceDN/>
        <w:adjustRightInd/>
        <w:textAlignment w:val="baseline"/>
        <w:rPr>
          <w:rFonts w:cs="Times New Roman"/>
          <w:color w:val="000000"/>
          <w:szCs w:val="24"/>
        </w:rPr>
      </w:pPr>
      <w:r w:rsidRPr="009738DB">
        <w:rPr>
          <w:rFonts w:cs="Times New Roman"/>
          <w:color w:val="000000"/>
          <w:szCs w:val="24"/>
        </w:rPr>
        <w:t>Qu’est-ce que le pouvoir d’achat des ménages ?</w:t>
      </w:r>
    </w:p>
    <w:p w:rsidR="009738DB" w:rsidRPr="009738DB" w:rsidRDefault="009738DB" w:rsidP="009738DB">
      <w:pPr>
        <w:widowControl/>
        <w:numPr>
          <w:ilvl w:val="0"/>
          <w:numId w:val="24"/>
        </w:numPr>
        <w:autoSpaceDE/>
        <w:autoSpaceDN/>
        <w:adjustRightInd/>
        <w:textAlignment w:val="baseline"/>
        <w:rPr>
          <w:rFonts w:cs="Times New Roman"/>
          <w:color w:val="000000"/>
          <w:szCs w:val="24"/>
        </w:rPr>
      </w:pPr>
      <w:r w:rsidRPr="009738DB">
        <w:rPr>
          <w:rFonts w:cs="Times New Roman"/>
          <w:color w:val="000000"/>
          <w:szCs w:val="24"/>
        </w:rPr>
        <w:t>Comment s’explique le ralentissement récent de la consommation finale des ménages ?</w:t>
      </w:r>
    </w:p>
    <w:p w:rsidR="009738DB" w:rsidRPr="009738DB" w:rsidRDefault="009738DB" w:rsidP="009738DB">
      <w:pPr>
        <w:widowControl/>
        <w:numPr>
          <w:ilvl w:val="0"/>
          <w:numId w:val="24"/>
        </w:numPr>
        <w:autoSpaceDE/>
        <w:autoSpaceDN/>
        <w:adjustRightInd/>
        <w:textAlignment w:val="baseline"/>
        <w:rPr>
          <w:rFonts w:cs="Times New Roman"/>
          <w:color w:val="000000"/>
          <w:szCs w:val="24"/>
        </w:rPr>
      </w:pPr>
      <w:r w:rsidRPr="009738DB">
        <w:rPr>
          <w:rFonts w:cs="Times New Roman"/>
          <w:color w:val="000000"/>
          <w:szCs w:val="24"/>
        </w:rPr>
        <w:t>Qu’est-ce que l’épargne de précaution ? Comment expliquer sa montée dans la période récente ?</w:t>
      </w:r>
    </w:p>
    <w:p w:rsidR="009738DB" w:rsidRDefault="009738DB">
      <w:pPr>
        <w:widowControl/>
        <w:autoSpaceDE/>
        <w:autoSpaceDN/>
        <w:adjustRightInd/>
        <w:spacing w:after="200" w:line="276" w:lineRule="auto"/>
        <w:jc w:val="left"/>
        <w:rPr>
          <w:rFonts w:cs="Times New Roman"/>
          <w:b/>
          <w:bCs/>
          <w:color w:val="000000"/>
          <w:szCs w:val="24"/>
          <w:u w:val="single"/>
        </w:rPr>
      </w:pPr>
      <w:r>
        <w:rPr>
          <w:rFonts w:cs="Times New Roman"/>
          <w:b/>
          <w:bCs/>
          <w:color w:val="000000"/>
          <w:szCs w:val="24"/>
          <w:u w:val="single"/>
        </w:rPr>
        <w:br w:type="page"/>
      </w: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u w:val="single"/>
        </w:rPr>
        <w:lastRenderedPageBreak/>
        <w:t>Travail final évalué :</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rPr>
        <w:t>Vous répondrez aux questions suivantes en vous aidant de la vidéo en ligne et de vos réponses aux questions portant sur les documents précédents.</w:t>
      </w: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rPr>
        <w:t>Vous justifierez à chaque fois vos réponses.</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numPr>
          <w:ilvl w:val="0"/>
          <w:numId w:val="20"/>
        </w:numPr>
        <w:autoSpaceDE/>
        <w:autoSpaceDN/>
        <w:adjustRightInd/>
        <w:textAlignment w:val="baseline"/>
        <w:rPr>
          <w:rFonts w:cs="Times New Roman"/>
          <w:b/>
          <w:bCs/>
          <w:color w:val="000000"/>
          <w:szCs w:val="24"/>
        </w:rPr>
      </w:pPr>
      <w:r w:rsidRPr="009738DB">
        <w:rPr>
          <w:rFonts w:cs="Times New Roman"/>
          <w:b/>
          <w:bCs/>
          <w:color w:val="000000"/>
          <w:szCs w:val="24"/>
        </w:rPr>
        <w:t>Quelle part de leur RDB les ménages consacrent-ils en général à leur consommation finale ? (indiquez un intervalle comme résultat).</w:t>
      </w:r>
    </w:p>
    <w:p w:rsidR="009738DB" w:rsidRPr="009738DB" w:rsidRDefault="009738DB" w:rsidP="009738DB">
      <w:pPr>
        <w:widowControl/>
        <w:numPr>
          <w:ilvl w:val="0"/>
          <w:numId w:val="20"/>
        </w:numPr>
        <w:autoSpaceDE/>
        <w:autoSpaceDN/>
        <w:adjustRightInd/>
        <w:textAlignment w:val="baseline"/>
        <w:rPr>
          <w:rFonts w:cs="Times New Roman"/>
          <w:b/>
          <w:bCs/>
          <w:color w:val="000000"/>
          <w:szCs w:val="24"/>
        </w:rPr>
      </w:pPr>
      <w:r w:rsidRPr="009738DB">
        <w:rPr>
          <w:rFonts w:cs="Times New Roman"/>
          <w:b/>
          <w:bCs/>
          <w:color w:val="000000"/>
          <w:szCs w:val="24"/>
        </w:rPr>
        <w:t>Quelle part de leur RDB les ménages consacrent-ils en général à leur épargne brute ? (indiquez un intervalle comme résultat).</w:t>
      </w:r>
    </w:p>
    <w:p w:rsidR="009738DB" w:rsidRPr="009738DB" w:rsidRDefault="009738DB" w:rsidP="009738DB">
      <w:pPr>
        <w:widowControl/>
        <w:numPr>
          <w:ilvl w:val="0"/>
          <w:numId w:val="20"/>
        </w:numPr>
        <w:autoSpaceDE/>
        <w:autoSpaceDN/>
        <w:adjustRightInd/>
        <w:textAlignment w:val="baseline"/>
        <w:rPr>
          <w:rFonts w:cs="Times New Roman"/>
          <w:b/>
          <w:bCs/>
          <w:color w:val="000000"/>
          <w:szCs w:val="24"/>
        </w:rPr>
      </w:pPr>
      <w:r w:rsidRPr="009738DB">
        <w:rPr>
          <w:rFonts w:cs="Times New Roman"/>
          <w:b/>
          <w:bCs/>
          <w:color w:val="000000"/>
          <w:szCs w:val="24"/>
        </w:rPr>
        <w:t>Comment a évolué le partage du RDB des ménages depuis 1949 en France ?</w:t>
      </w:r>
    </w:p>
    <w:p w:rsidR="009738DB" w:rsidRPr="009738DB" w:rsidRDefault="009738DB" w:rsidP="009738DB">
      <w:pPr>
        <w:widowControl/>
        <w:numPr>
          <w:ilvl w:val="0"/>
          <w:numId w:val="20"/>
        </w:numPr>
        <w:autoSpaceDE/>
        <w:autoSpaceDN/>
        <w:adjustRightInd/>
        <w:textAlignment w:val="baseline"/>
        <w:rPr>
          <w:rFonts w:cs="Times New Roman"/>
          <w:b/>
          <w:bCs/>
          <w:color w:val="000000"/>
          <w:szCs w:val="24"/>
        </w:rPr>
      </w:pPr>
      <w:r w:rsidRPr="009738DB">
        <w:rPr>
          <w:rFonts w:cs="Times New Roman"/>
          <w:b/>
          <w:bCs/>
          <w:color w:val="000000"/>
          <w:szCs w:val="24"/>
        </w:rPr>
        <w:t>L’âge a-t-il une influence sur le partage du RDB des ménages ?</w:t>
      </w:r>
    </w:p>
    <w:p w:rsidR="009738DB" w:rsidRPr="009738DB" w:rsidRDefault="009738DB" w:rsidP="009738DB">
      <w:pPr>
        <w:widowControl/>
        <w:numPr>
          <w:ilvl w:val="0"/>
          <w:numId w:val="20"/>
        </w:numPr>
        <w:autoSpaceDE/>
        <w:autoSpaceDN/>
        <w:adjustRightInd/>
        <w:textAlignment w:val="baseline"/>
        <w:rPr>
          <w:rFonts w:cs="Times New Roman"/>
          <w:b/>
          <w:bCs/>
          <w:color w:val="000000"/>
          <w:szCs w:val="24"/>
        </w:rPr>
      </w:pPr>
      <w:r w:rsidRPr="009738DB">
        <w:rPr>
          <w:rFonts w:cs="Times New Roman"/>
          <w:b/>
          <w:bCs/>
          <w:color w:val="000000"/>
          <w:szCs w:val="24"/>
        </w:rPr>
        <w:t>En quoi la situation économique du pays peut-elle influencer le partage du RDB des ménages ?</w:t>
      </w:r>
    </w:p>
    <w:p w:rsidR="009738DB" w:rsidRPr="009738DB" w:rsidRDefault="009738DB" w:rsidP="009738DB">
      <w:pPr>
        <w:widowControl/>
        <w:numPr>
          <w:ilvl w:val="0"/>
          <w:numId w:val="20"/>
        </w:numPr>
        <w:autoSpaceDE/>
        <w:autoSpaceDN/>
        <w:adjustRightInd/>
        <w:textAlignment w:val="baseline"/>
        <w:rPr>
          <w:rFonts w:cs="Times New Roman"/>
          <w:b/>
          <w:bCs/>
          <w:color w:val="000000"/>
          <w:szCs w:val="24"/>
        </w:rPr>
      </w:pPr>
      <w:r w:rsidRPr="009738DB">
        <w:rPr>
          <w:rFonts w:cs="Times New Roman"/>
          <w:b/>
          <w:bCs/>
          <w:color w:val="000000"/>
          <w:szCs w:val="24"/>
        </w:rPr>
        <w:t>Comment le taux d’intérêt peut-il influencer le partage du RDB des ménages (</w:t>
      </w:r>
      <w:proofErr w:type="spellStart"/>
      <w:r w:rsidRPr="009738DB">
        <w:rPr>
          <w:rFonts w:cs="Times New Roman"/>
          <w:b/>
          <w:bCs/>
          <w:color w:val="000000"/>
          <w:szCs w:val="24"/>
        </w:rPr>
        <w:t>ceteris</w:t>
      </w:r>
      <w:proofErr w:type="spellEnd"/>
      <w:r w:rsidRPr="009738DB">
        <w:rPr>
          <w:rFonts w:cs="Times New Roman"/>
          <w:b/>
          <w:bCs/>
          <w:color w:val="000000"/>
          <w:szCs w:val="24"/>
        </w:rPr>
        <w:t xml:space="preserve"> </w:t>
      </w:r>
      <w:proofErr w:type="spellStart"/>
      <w:r w:rsidRPr="009738DB">
        <w:rPr>
          <w:rFonts w:cs="Times New Roman"/>
          <w:b/>
          <w:bCs/>
          <w:color w:val="000000"/>
          <w:szCs w:val="24"/>
        </w:rPr>
        <w:t>paribus</w:t>
      </w:r>
      <w:proofErr w:type="spellEnd"/>
      <w:r w:rsidRPr="009738DB">
        <w:rPr>
          <w:rFonts w:cs="Times New Roman"/>
          <w:b/>
          <w:bCs/>
          <w:color w:val="000000"/>
          <w:szCs w:val="24"/>
        </w:rPr>
        <w:t>) ?</w:t>
      </w:r>
    </w:p>
    <w:p w:rsidR="009738DB" w:rsidRDefault="009738DB" w:rsidP="009738DB">
      <w:pPr>
        <w:widowControl/>
        <w:autoSpaceDE/>
        <w:autoSpaceDN/>
        <w:adjustRightInd/>
        <w:spacing w:after="240"/>
        <w:jc w:val="left"/>
        <w:rPr>
          <w:rFonts w:cs="Times New Roman"/>
          <w:szCs w:val="24"/>
        </w:rPr>
      </w:pPr>
    </w:p>
    <w:p w:rsidR="009738DB" w:rsidRDefault="009738DB" w:rsidP="009738DB">
      <w:pPr>
        <w:widowControl/>
        <w:autoSpaceDE/>
        <w:autoSpaceDN/>
        <w:adjustRightInd/>
        <w:spacing w:after="240"/>
        <w:jc w:val="left"/>
        <w:rPr>
          <w:rFonts w:cs="Times New Roman"/>
          <w:szCs w:val="24"/>
        </w:rPr>
      </w:pPr>
    </w:p>
    <w:p w:rsidR="009738DB" w:rsidRDefault="009738DB">
      <w:pPr>
        <w:widowControl/>
        <w:autoSpaceDE/>
        <w:autoSpaceDN/>
        <w:adjustRightInd/>
        <w:spacing w:after="200" w:line="276" w:lineRule="auto"/>
        <w:jc w:val="left"/>
        <w:rPr>
          <w:rFonts w:cs="Times New Roman"/>
          <w:b/>
          <w:bCs/>
          <w:color w:val="000000"/>
          <w:szCs w:val="24"/>
          <w:u w:val="single"/>
        </w:rPr>
      </w:pPr>
      <w:r>
        <w:rPr>
          <w:rFonts w:cs="Times New Roman"/>
          <w:b/>
          <w:bCs/>
          <w:color w:val="000000"/>
          <w:szCs w:val="24"/>
          <w:u w:val="single"/>
        </w:rPr>
        <w:br w:type="page"/>
      </w: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u w:val="single"/>
        </w:rPr>
        <w:lastRenderedPageBreak/>
        <w:t>Bonus 1 :</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jc w:val="left"/>
        <w:rPr>
          <w:rFonts w:cs="Times New Roman"/>
          <w:szCs w:val="24"/>
        </w:rPr>
      </w:pPr>
      <w:r w:rsidRPr="009738DB">
        <w:rPr>
          <w:rFonts w:cs="Times New Roman"/>
          <w:b/>
          <w:bCs/>
          <w:color w:val="000000"/>
          <w:sz w:val="22"/>
        </w:rPr>
        <w:t>Document 5</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 w:val="22"/>
        </w:rPr>
        <w:t>Très soutenue au cours des Trente Glorieuses (+ 4,4 % en moyenne par an au cours des années 1960), la croissance du pouvoir d’achat [...] fléchit au milieu des années 1970[...]. Le ralentissement du pouvoir d’achat se transmet toutefois de manière un peu atténuée à la consommation [...] : en effet les ménages, qui avaient maintenu un taux d’épargne très élevé (proche de 20 %) pendant les Trente Glorieuses [pour maintenir la valeur de leur épargne] dans un contexte d’inflation forte, profitent de la désinflation du début des années 1980 pour réduire leur épargne. Pendant neuf années, de 1979 à 1987, la consommation en volume croît ainsi plus vite que le pouvoir d’achat. La structure de la consommation subit de fortes modifications, avec notamment une hausse tendancielle de la part des dépenses « pré-engagées », sur lesquelles les ménages ont peu de marges de manœuvre à court terme (logement, chauffage, intérêts d’emprunt, assurances, services de télécommunication, etc.) : cette part passe de 12,8 % en 1960 à 27,8 % en 2012.</w:t>
      </w:r>
    </w:p>
    <w:p w:rsidR="009738DB" w:rsidRPr="009738DB" w:rsidRDefault="009738DB" w:rsidP="009738DB">
      <w:pPr>
        <w:widowControl/>
        <w:autoSpaceDE/>
        <w:autoSpaceDN/>
        <w:adjustRightInd/>
        <w:rPr>
          <w:rFonts w:cs="Times New Roman"/>
          <w:szCs w:val="24"/>
        </w:rPr>
      </w:pPr>
      <w:r w:rsidRPr="009738DB">
        <w:rPr>
          <w:rFonts w:cs="Times New Roman"/>
          <w:color w:val="000000"/>
          <w:sz w:val="22"/>
        </w:rPr>
        <w:t>Après un minimum atteint en 1987 (11,1 %), le taux d’épargne des ménages remonte progressivement et la consommation en volume [...] diminue légèrement en 1991 (– 0,3 %) et 1993 (– 0,8 %). En revanche, du milieu des années 1990 jusqu’en 2007, le pouvoir d’achat et la consommation en volume [...] croissent à nouveau de manière soutenue (bien que de façon moins marquée qu’au cours des Trente Glorieuses) alors que le taux d’épargne est  très stable aux alentours de 15 %. La nette accélération des prix en 2008 puis la récession de 2008-2009 freinent brutalement le pouvoir d’achat. Cette décélération se transmet à la consommation, car les ménages ajustent peu le niveau de leur épargne, et la consommation en volume [...] diminue de 1,0 % en 2012.</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jc w:val="right"/>
        <w:rPr>
          <w:rFonts w:cs="Times New Roman"/>
          <w:szCs w:val="24"/>
        </w:rPr>
      </w:pPr>
      <w:r w:rsidRPr="009738DB">
        <w:rPr>
          <w:rFonts w:cs="Times New Roman"/>
          <w:b/>
          <w:bCs/>
          <w:i/>
          <w:iCs/>
          <w:color w:val="000000"/>
          <w:sz w:val="22"/>
        </w:rPr>
        <w:t>Insee, “</w:t>
      </w:r>
      <w:hyperlink r:id="rId13" w:history="1">
        <w:r w:rsidRPr="009738DB">
          <w:rPr>
            <w:rFonts w:cs="Times New Roman"/>
            <w:b/>
            <w:bCs/>
            <w:i/>
            <w:iCs/>
            <w:color w:val="1155CC"/>
            <w:sz w:val="22"/>
            <w:u w:val="single"/>
          </w:rPr>
          <w:t>Trente ans de vie économique et sociale</w:t>
        </w:r>
      </w:hyperlink>
      <w:r w:rsidRPr="009738DB">
        <w:rPr>
          <w:rFonts w:cs="Times New Roman"/>
          <w:b/>
          <w:bCs/>
          <w:i/>
          <w:iCs/>
          <w:color w:val="000000"/>
          <w:sz w:val="22"/>
        </w:rPr>
        <w:t>”, 29/01/2014, dossier “</w:t>
      </w:r>
      <w:hyperlink r:id="rId14" w:history="1">
        <w:r w:rsidRPr="009738DB">
          <w:rPr>
            <w:rFonts w:cs="Times New Roman"/>
            <w:b/>
            <w:bCs/>
            <w:i/>
            <w:iCs/>
            <w:color w:val="1155CC"/>
            <w:sz w:val="22"/>
            <w:u w:val="single"/>
          </w:rPr>
          <w:t>Avant et après les chocs pétroliers : l'économie française de 1949 à 2012</w:t>
        </w:r>
      </w:hyperlink>
      <w:r w:rsidRPr="009738DB">
        <w:rPr>
          <w:rFonts w:cs="Times New Roman"/>
          <w:b/>
          <w:bCs/>
          <w:i/>
          <w:iCs/>
          <w:color w:val="000000"/>
          <w:sz w:val="22"/>
        </w:rPr>
        <w:t xml:space="preserve"> “, pages 14-15.</w:t>
      </w:r>
    </w:p>
    <w:p w:rsidR="009738DB" w:rsidRPr="009738DB" w:rsidRDefault="009738DB" w:rsidP="009738DB">
      <w:pPr>
        <w:widowControl/>
        <w:autoSpaceDE/>
        <w:autoSpaceDN/>
        <w:adjustRightInd/>
        <w:spacing w:after="240"/>
        <w:jc w:val="left"/>
        <w:rPr>
          <w:rFonts w:cs="Times New Roman"/>
          <w:szCs w:val="24"/>
        </w:rPr>
      </w:pPr>
    </w:p>
    <w:p w:rsidR="009738DB" w:rsidRPr="009738DB" w:rsidRDefault="009738DB" w:rsidP="009738DB">
      <w:pPr>
        <w:widowControl/>
        <w:numPr>
          <w:ilvl w:val="0"/>
          <w:numId w:val="30"/>
        </w:numPr>
        <w:autoSpaceDE/>
        <w:autoSpaceDN/>
        <w:adjustRightInd/>
        <w:jc w:val="left"/>
        <w:textAlignment w:val="baseline"/>
        <w:rPr>
          <w:rFonts w:cs="Times New Roman"/>
          <w:color w:val="000000"/>
          <w:sz w:val="22"/>
        </w:rPr>
      </w:pPr>
      <w:r w:rsidRPr="009738DB">
        <w:rPr>
          <w:rFonts w:cs="Times New Roman"/>
          <w:color w:val="000000"/>
          <w:sz w:val="22"/>
        </w:rPr>
        <w:t>À quelle période correspondent les “Trente Glorieuses” ?</w:t>
      </w:r>
    </w:p>
    <w:p w:rsidR="009738DB" w:rsidRPr="009738DB" w:rsidRDefault="009738DB" w:rsidP="009738DB">
      <w:pPr>
        <w:widowControl/>
        <w:numPr>
          <w:ilvl w:val="0"/>
          <w:numId w:val="30"/>
        </w:numPr>
        <w:autoSpaceDE/>
        <w:autoSpaceDN/>
        <w:adjustRightInd/>
        <w:jc w:val="left"/>
        <w:textAlignment w:val="baseline"/>
        <w:rPr>
          <w:rFonts w:cs="Times New Roman"/>
          <w:color w:val="000000"/>
          <w:sz w:val="22"/>
        </w:rPr>
      </w:pPr>
      <w:r w:rsidRPr="009738DB">
        <w:rPr>
          <w:rFonts w:cs="Times New Roman"/>
          <w:color w:val="000000"/>
          <w:sz w:val="22"/>
        </w:rPr>
        <w:t>Qu’est-ce que le pouvoir d’achat ?</w:t>
      </w:r>
    </w:p>
    <w:p w:rsidR="009738DB" w:rsidRPr="009738DB" w:rsidRDefault="009738DB" w:rsidP="009738DB">
      <w:pPr>
        <w:widowControl/>
        <w:numPr>
          <w:ilvl w:val="0"/>
          <w:numId w:val="30"/>
        </w:numPr>
        <w:autoSpaceDE/>
        <w:autoSpaceDN/>
        <w:adjustRightInd/>
        <w:jc w:val="left"/>
        <w:textAlignment w:val="baseline"/>
        <w:rPr>
          <w:rFonts w:cs="Times New Roman"/>
          <w:color w:val="000000"/>
          <w:sz w:val="22"/>
        </w:rPr>
      </w:pPr>
      <w:r w:rsidRPr="009738DB">
        <w:rPr>
          <w:rFonts w:cs="Times New Roman"/>
          <w:color w:val="000000"/>
          <w:sz w:val="22"/>
        </w:rPr>
        <w:t>Pourquoi le taux d’épargne des ménages reste élevé pendant les “Trente Glorieuses” ?</w:t>
      </w:r>
    </w:p>
    <w:p w:rsidR="009738DB" w:rsidRPr="009738DB" w:rsidRDefault="009738DB" w:rsidP="009738DB">
      <w:pPr>
        <w:widowControl/>
        <w:numPr>
          <w:ilvl w:val="0"/>
          <w:numId w:val="30"/>
        </w:numPr>
        <w:autoSpaceDE/>
        <w:autoSpaceDN/>
        <w:adjustRightInd/>
        <w:jc w:val="left"/>
        <w:textAlignment w:val="baseline"/>
        <w:rPr>
          <w:rFonts w:cs="Times New Roman"/>
          <w:color w:val="000000"/>
          <w:sz w:val="22"/>
        </w:rPr>
      </w:pPr>
      <w:r w:rsidRPr="009738DB">
        <w:rPr>
          <w:rFonts w:cs="Times New Roman"/>
          <w:color w:val="000000"/>
          <w:sz w:val="22"/>
        </w:rPr>
        <w:t>Pourquoi ce taux d’épargne se réduit-il ensuite pendant 9 ans ?</w:t>
      </w:r>
    </w:p>
    <w:p w:rsidR="009738DB" w:rsidRDefault="009738DB" w:rsidP="009738DB">
      <w:pPr>
        <w:widowControl/>
        <w:numPr>
          <w:ilvl w:val="0"/>
          <w:numId w:val="30"/>
        </w:numPr>
        <w:autoSpaceDE/>
        <w:autoSpaceDN/>
        <w:adjustRightInd/>
        <w:jc w:val="left"/>
        <w:textAlignment w:val="baseline"/>
        <w:rPr>
          <w:rFonts w:cs="Times New Roman"/>
          <w:color w:val="000000"/>
          <w:sz w:val="22"/>
        </w:rPr>
      </w:pPr>
      <w:r w:rsidRPr="009738DB">
        <w:rPr>
          <w:rFonts w:cs="Times New Roman"/>
          <w:color w:val="000000"/>
          <w:sz w:val="22"/>
        </w:rPr>
        <w:t>Comment ce taux d’épargne évolue-t-il ensuite ?</w:t>
      </w:r>
    </w:p>
    <w:p w:rsidR="009738DB" w:rsidRDefault="009738DB" w:rsidP="009738DB">
      <w:pPr>
        <w:widowControl/>
        <w:autoSpaceDE/>
        <w:autoSpaceDN/>
        <w:adjustRightInd/>
        <w:jc w:val="left"/>
        <w:textAlignment w:val="baseline"/>
        <w:rPr>
          <w:rFonts w:cs="Times New Roman"/>
          <w:color w:val="000000"/>
          <w:sz w:val="22"/>
        </w:rPr>
      </w:pPr>
    </w:p>
    <w:p w:rsidR="009738DB" w:rsidRDefault="009738DB">
      <w:pPr>
        <w:widowControl/>
        <w:autoSpaceDE/>
        <w:autoSpaceDN/>
        <w:adjustRightInd/>
        <w:spacing w:after="200" w:line="276" w:lineRule="auto"/>
        <w:jc w:val="left"/>
        <w:rPr>
          <w:rFonts w:cs="Times New Roman"/>
          <w:b/>
          <w:bCs/>
          <w:color w:val="000000"/>
          <w:szCs w:val="24"/>
          <w:u w:val="single"/>
        </w:rPr>
      </w:pPr>
      <w:r>
        <w:rPr>
          <w:rFonts w:cs="Times New Roman"/>
          <w:b/>
          <w:bCs/>
          <w:color w:val="000000"/>
          <w:szCs w:val="24"/>
          <w:u w:val="single"/>
        </w:rPr>
        <w:br w:type="page"/>
      </w: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u w:val="single"/>
        </w:rPr>
        <w:lastRenderedPageBreak/>
        <w:t>Bonus 2 :</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rPr>
        <w:t>Document 6</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Reprenons les deux individus du document 5 et accordons leur une augmentation de revenu de 10% chacun.</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Dans le cas de M. Smicard, ses revenus modestes ne lui permettaient pas de satisfaire tous ses besoins en matière de consommation, il consacrera donc ses revenus supplémentaires à améliorer cette satisfaction.</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Par contre M. Richard, dont les revenus étaient élevés, avait déjà satisfait tous ses besoins en matière de consommation. Dans ces conditions, ses revenus supplémentaires seront intégralement consacrés à l’épargne.</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b/>
          <w:bCs/>
          <w:color w:val="000000"/>
          <w:szCs w:val="24"/>
          <w:u w:val="single"/>
        </w:rPr>
        <w:t>Définitions :</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Propension marginale à consommer = (</w:t>
      </w:r>
      <w:r w:rsidRPr="009738DB">
        <w:rPr>
          <w:rFonts w:ascii="Cambria" w:hAnsi="Cambria" w:cs="Times New Roman"/>
          <w:color w:val="000000"/>
          <w:szCs w:val="24"/>
        </w:rPr>
        <w:t>Δ CF / Δ RDB) ×100</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Propension marginale à épargner =  (</w:t>
      </w:r>
      <w:r w:rsidRPr="009738DB">
        <w:rPr>
          <w:rFonts w:ascii="Cambria" w:hAnsi="Cambria" w:cs="Times New Roman"/>
          <w:color w:val="000000"/>
          <w:szCs w:val="24"/>
        </w:rPr>
        <w:t xml:space="preserve">Δ S / Δ </w:t>
      </w:r>
      <w:proofErr w:type="gramStart"/>
      <w:r w:rsidRPr="009738DB">
        <w:rPr>
          <w:rFonts w:ascii="Cambria" w:hAnsi="Cambria" w:cs="Times New Roman"/>
          <w:color w:val="000000"/>
          <w:szCs w:val="24"/>
        </w:rPr>
        <w:t>RDB )</w:t>
      </w:r>
      <w:proofErr w:type="gramEnd"/>
      <w:r w:rsidRPr="009738DB">
        <w:rPr>
          <w:rFonts w:ascii="Cambria" w:hAnsi="Cambria" w:cs="Times New Roman"/>
          <w:color w:val="000000"/>
          <w:szCs w:val="24"/>
        </w:rPr>
        <w:t xml:space="preserve"> ×100</w:t>
      </w:r>
    </w:p>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Δ = variation</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RDB = revenu disponible brut</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CF = consommation finale</w:t>
      </w:r>
    </w:p>
    <w:p w:rsidR="009738DB" w:rsidRPr="009738DB" w:rsidRDefault="009738DB" w:rsidP="009738DB">
      <w:pPr>
        <w:widowControl/>
        <w:autoSpaceDE/>
        <w:autoSpaceDN/>
        <w:adjustRightInd/>
        <w:rPr>
          <w:rFonts w:cs="Times New Roman"/>
          <w:szCs w:val="24"/>
        </w:rPr>
      </w:pPr>
      <w:r w:rsidRPr="009738DB">
        <w:rPr>
          <w:rFonts w:cs="Times New Roman"/>
          <w:color w:val="000000"/>
          <w:szCs w:val="24"/>
        </w:rPr>
        <w:t>S = épargne</w:t>
      </w:r>
    </w:p>
    <w:p w:rsidR="009738DB" w:rsidRPr="009738DB" w:rsidRDefault="009738DB" w:rsidP="009738DB">
      <w:pPr>
        <w:widowControl/>
        <w:autoSpaceDE/>
        <w:autoSpaceDN/>
        <w:adjustRightInd/>
        <w:spacing w:after="240"/>
        <w:jc w:val="left"/>
        <w:rPr>
          <w:rFonts w:cs="Times New Roman"/>
          <w:szCs w:val="24"/>
        </w:rPr>
      </w:pPr>
    </w:p>
    <w:tbl>
      <w:tblPr>
        <w:tblW w:w="0" w:type="auto"/>
        <w:tblCellMar>
          <w:top w:w="15" w:type="dxa"/>
          <w:left w:w="15" w:type="dxa"/>
          <w:bottom w:w="15" w:type="dxa"/>
          <w:right w:w="15" w:type="dxa"/>
        </w:tblCellMar>
        <w:tblLook w:val="04A0"/>
      </w:tblPr>
      <w:tblGrid>
        <w:gridCol w:w="1078"/>
        <w:gridCol w:w="715"/>
        <w:gridCol w:w="1975"/>
        <w:gridCol w:w="1021"/>
        <w:gridCol w:w="2338"/>
        <w:gridCol w:w="2185"/>
      </w:tblGrid>
      <w:tr w:rsidR="009738DB" w:rsidRPr="009738DB" w:rsidTr="009738D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Δ RDB</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Δ Consommation finale</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Δ Épargne</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Propension marginale à consommer</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738DB" w:rsidRPr="009738DB" w:rsidRDefault="009738DB" w:rsidP="009738DB">
            <w:pPr>
              <w:widowControl/>
              <w:autoSpaceDE/>
              <w:autoSpaceDN/>
              <w:adjustRightInd/>
              <w:ind w:left="-120"/>
              <w:jc w:val="center"/>
              <w:rPr>
                <w:rFonts w:cs="Times New Roman"/>
                <w:szCs w:val="24"/>
              </w:rPr>
            </w:pPr>
            <w:r w:rsidRPr="009738DB">
              <w:rPr>
                <w:rFonts w:cs="Times New Roman"/>
                <w:color w:val="000000"/>
                <w:szCs w:val="24"/>
              </w:rPr>
              <w:t>Propension marginale à épargner</w:t>
            </w:r>
          </w:p>
          <w:p w:rsidR="009738DB" w:rsidRPr="009738DB" w:rsidRDefault="009738DB" w:rsidP="009738DB">
            <w:pPr>
              <w:widowControl/>
              <w:autoSpaceDE/>
              <w:autoSpaceDN/>
              <w:adjustRightInd/>
              <w:spacing w:line="0" w:lineRule="atLeast"/>
              <w:ind w:left="-120"/>
              <w:jc w:val="center"/>
              <w:rPr>
                <w:rFonts w:cs="Times New Roman"/>
                <w:szCs w:val="24"/>
              </w:rPr>
            </w:pPr>
            <w:r w:rsidRPr="009738DB">
              <w:rPr>
                <w:rFonts w:cs="Times New Roman"/>
                <w:color w:val="000000"/>
                <w:szCs w:val="24"/>
              </w:rPr>
              <w:t>(en %)</w:t>
            </w:r>
          </w:p>
        </w:tc>
      </w:tr>
      <w:tr w:rsidR="009738DB" w:rsidRPr="009738DB" w:rsidTr="009738D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rPr>
                <w:rFonts w:cs="Times New Roman"/>
                <w:szCs w:val="24"/>
              </w:rPr>
            </w:pPr>
            <w:r w:rsidRPr="009738DB">
              <w:rPr>
                <w:rFonts w:cs="Times New Roman"/>
                <w:color w:val="000000"/>
                <w:szCs w:val="24"/>
              </w:rPr>
              <w:t>M. Smicard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r>
      <w:tr w:rsidR="009738DB" w:rsidRPr="009738DB" w:rsidTr="009738D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spacing w:line="0" w:lineRule="atLeast"/>
              <w:ind w:left="-120"/>
              <w:rPr>
                <w:rFonts w:cs="Times New Roman"/>
                <w:szCs w:val="24"/>
              </w:rPr>
            </w:pPr>
            <w:r w:rsidRPr="009738DB">
              <w:rPr>
                <w:rFonts w:cs="Times New Roman"/>
                <w:color w:val="000000"/>
                <w:szCs w:val="24"/>
              </w:rPr>
              <w:t>M. Richard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738DB" w:rsidRPr="009738DB" w:rsidRDefault="009738DB" w:rsidP="009738DB">
            <w:pPr>
              <w:widowControl/>
              <w:autoSpaceDE/>
              <w:autoSpaceDN/>
              <w:adjustRightInd/>
              <w:jc w:val="left"/>
              <w:rPr>
                <w:rFonts w:cs="Times New Roman"/>
                <w:sz w:val="1"/>
                <w:szCs w:val="24"/>
              </w:rPr>
            </w:pPr>
          </w:p>
        </w:tc>
      </w:tr>
    </w:tbl>
    <w:p w:rsidR="009738DB" w:rsidRPr="009738DB" w:rsidRDefault="009738DB" w:rsidP="009738DB">
      <w:pPr>
        <w:widowControl/>
        <w:autoSpaceDE/>
        <w:autoSpaceDN/>
        <w:adjustRightInd/>
        <w:jc w:val="left"/>
        <w:rPr>
          <w:rFonts w:cs="Times New Roman"/>
          <w:szCs w:val="24"/>
        </w:rPr>
      </w:pPr>
    </w:p>
    <w:p w:rsidR="009738DB" w:rsidRPr="009738DB" w:rsidRDefault="009738DB" w:rsidP="009738DB">
      <w:pPr>
        <w:widowControl/>
        <w:numPr>
          <w:ilvl w:val="0"/>
          <w:numId w:val="35"/>
        </w:numPr>
        <w:autoSpaceDE/>
        <w:autoSpaceDN/>
        <w:adjustRightInd/>
        <w:textAlignment w:val="baseline"/>
        <w:rPr>
          <w:rFonts w:cs="Times New Roman"/>
          <w:color w:val="000000"/>
          <w:szCs w:val="24"/>
        </w:rPr>
      </w:pPr>
      <w:r w:rsidRPr="009738DB">
        <w:rPr>
          <w:rFonts w:cs="Times New Roman"/>
          <w:color w:val="000000"/>
          <w:szCs w:val="24"/>
        </w:rPr>
        <w:t>Effectuez les calculs nécessaires pour remplir le tableau.</w:t>
      </w:r>
    </w:p>
    <w:p w:rsidR="009738DB" w:rsidRPr="009738DB" w:rsidRDefault="009738DB" w:rsidP="009738DB">
      <w:pPr>
        <w:widowControl/>
        <w:numPr>
          <w:ilvl w:val="0"/>
          <w:numId w:val="35"/>
        </w:numPr>
        <w:autoSpaceDE/>
        <w:autoSpaceDN/>
        <w:adjustRightInd/>
        <w:textAlignment w:val="baseline"/>
        <w:rPr>
          <w:rFonts w:cs="Times New Roman"/>
          <w:color w:val="000000"/>
          <w:szCs w:val="24"/>
        </w:rPr>
      </w:pPr>
      <w:r w:rsidRPr="009738DB">
        <w:rPr>
          <w:rFonts w:cs="Times New Roman"/>
          <w:color w:val="000000"/>
          <w:szCs w:val="24"/>
        </w:rPr>
        <w:t>Que deviennent les propensions moyennes à consommer et à épargner de nos deux individus après leur augmentation de revenu ?</w:t>
      </w:r>
    </w:p>
    <w:p w:rsidR="009738DB" w:rsidRPr="009738DB" w:rsidRDefault="009738DB" w:rsidP="009738DB">
      <w:pPr>
        <w:widowControl/>
        <w:numPr>
          <w:ilvl w:val="0"/>
          <w:numId w:val="35"/>
        </w:numPr>
        <w:autoSpaceDE/>
        <w:autoSpaceDN/>
        <w:adjustRightInd/>
        <w:textAlignment w:val="baseline"/>
        <w:rPr>
          <w:rFonts w:cs="Times New Roman"/>
          <w:color w:val="000000"/>
          <w:szCs w:val="24"/>
        </w:rPr>
      </w:pPr>
      <w:r w:rsidRPr="009738DB">
        <w:rPr>
          <w:rFonts w:cs="Times New Roman"/>
          <w:color w:val="000000"/>
          <w:szCs w:val="24"/>
        </w:rPr>
        <w:t>Déduisez du tableau rempli une relation entre le RDB et les propensions marginales à consommer et à épargner.</w:t>
      </w:r>
    </w:p>
    <w:p w:rsidR="009738DB" w:rsidRPr="009738DB" w:rsidRDefault="009738DB" w:rsidP="009738DB">
      <w:pPr>
        <w:widowControl/>
        <w:numPr>
          <w:ilvl w:val="0"/>
          <w:numId w:val="35"/>
        </w:numPr>
        <w:autoSpaceDE/>
        <w:autoSpaceDN/>
        <w:adjustRightInd/>
        <w:textAlignment w:val="baseline"/>
        <w:rPr>
          <w:rFonts w:cs="Times New Roman"/>
          <w:color w:val="000000"/>
          <w:szCs w:val="24"/>
        </w:rPr>
      </w:pPr>
      <w:r w:rsidRPr="009738DB">
        <w:rPr>
          <w:rFonts w:cs="Times New Roman"/>
          <w:color w:val="000000"/>
          <w:szCs w:val="24"/>
        </w:rPr>
        <w:t>Si l’on souhaite stimuler la consommation finale des ménages, vaut-il mieux augmenter les revenus (en diminuant les impôts) de M. Smicard, de M. Richard ou des deux individus ? (Justifiez votre réponse par un calcul).</w:t>
      </w:r>
    </w:p>
    <w:sectPr w:rsidR="009738DB" w:rsidRPr="009738DB" w:rsidSect="00293153">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17" w:rsidRDefault="007A6217" w:rsidP="00F81302">
      <w:r>
        <w:separator/>
      </w:r>
    </w:p>
  </w:endnote>
  <w:endnote w:type="continuationSeparator" w:id="0">
    <w:p w:rsidR="007A6217" w:rsidRDefault="007A6217" w:rsidP="00F81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17" w:rsidRDefault="007A6217" w:rsidP="00F81302">
      <w:r>
        <w:separator/>
      </w:r>
    </w:p>
  </w:footnote>
  <w:footnote w:type="continuationSeparator" w:id="0">
    <w:p w:rsidR="007A6217" w:rsidRDefault="007A6217" w:rsidP="00F81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02" w:rsidRPr="00470449" w:rsidRDefault="00F81302" w:rsidP="00F81302">
    <w:pPr>
      <w:pBdr>
        <w:bottom w:val="single" w:sz="6" w:space="1" w:color="auto"/>
      </w:pBdr>
      <w:ind w:left="-851" w:right="-995" w:firstLine="709"/>
      <w:jc w:val="right"/>
      <w:rPr>
        <w:b/>
        <w:color w:val="E36C0A" w:themeColor="accent6" w:themeShade="BF"/>
        <w:sz w:val="16"/>
        <w:szCs w:val="16"/>
      </w:rPr>
    </w:pPr>
    <w:r>
      <w:rPr>
        <w:b/>
        <w:color w:val="E36C0A" w:themeColor="accent6" w:themeShade="BF"/>
        <w:sz w:val="16"/>
        <w:szCs w:val="16"/>
      </w:rPr>
      <w:t xml:space="preserve">Comment les revenus et les prix influencent-ils les choix des consommateurs </w:t>
    </w:r>
    <w:r w:rsidRPr="00470449">
      <w:rPr>
        <w:b/>
        <w:color w:val="E36C0A" w:themeColor="accent6" w:themeShade="BF"/>
        <w:sz w:val="16"/>
        <w:szCs w:val="16"/>
      </w:rPr>
      <w:t>? (</w:t>
    </w:r>
    <w:r>
      <w:rPr>
        <w:b/>
        <w:color w:val="E36C0A" w:themeColor="accent6" w:themeShade="BF"/>
        <w:sz w:val="16"/>
        <w:szCs w:val="16"/>
      </w:rPr>
      <w:t>2</w:t>
    </w:r>
    <w:r w:rsidRPr="00470449">
      <w:rPr>
        <w:b/>
        <w:color w:val="E36C0A" w:themeColor="accent6" w:themeShade="BF"/>
        <w:sz w:val="16"/>
        <w:szCs w:val="16"/>
      </w:rPr>
      <w:t>/</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 Comment les ménages utilisent-ils leur revenu disponible brut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3D3"/>
    <w:multiLevelType w:val="multilevel"/>
    <w:tmpl w:val="CA5E3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553A7"/>
    <w:multiLevelType w:val="hybridMultilevel"/>
    <w:tmpl w:val="EEE67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E3204B"/>
    <w:multiLevelType w:val="multilevel"/>
    <w:tmpl w:val="4862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C3B29"/>
    <w:multiLevelType w:val="hybridMultilevel"/>
    <w:tmpl w:val="CB7849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A97A5C"/>
    <w:multiLevelType w:val="multilevel"/>
    <w:tmpl w:val="FA2C2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720D7"/>
    <w:multiLevelType w:val="multilevel"/>
    <w:tmpl w:val="2572E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C6F94"/>
    <w:multiLevelType w:val="multilevel"/>
    <w:tmpl w:val="BDD42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94E95"/>
    <w:multiLevelType w:val="multilevel"/>
    <w:tmpl w:val="F0022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E5EDB"/>
    <w:multiLevelType w:val="hybridMultilevel"/>
    <w:tmpl w:val="987EA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A917C3"/>
    <w:multiLevelType w:val="multilevel"/>
    <w:tmpl w:val="A170B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794955"/>
    <w:multiLevelType w:val="multilevel"/>
    <w:tmpl w:val="0498BB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82238"/>
    <w:multiLevelType w:val="multilevel"/>
    <w:tmpl w:val="EACC4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7F715E"/>
    <w:multiLevelType w:val="multilevel"/>
    <w:tmpl w:val="D73CBC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0B4D57"/>
    <w:multiLevelType w:val="multilevel"/>
    <w:tmpl w:val="8BC80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B4E5E"/>
    <w:multiLevelType w:val="multilevel"/>
    <w:tmpl w:val="701073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282346"/>
    <w:multiLevelType w:val="multilevel"/>
    <w:tmpl w:val="CE94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467E6B"/>
    <w:multiLevelType w:val="hybridMultilevel"/>
    <w:tmpl w:val="228A94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D0862A6"/>
    <w:multiLevelType w:val="multilevel"/>
    <w:tmpl w:val="936AD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2069B5"/>
    <w:multiLevelType w:val="multilevel"/>
    <w:tmpl w:val="201AD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9B2FEC"/>
    <w:multiLevelType w:val="hybridMultilevel"/>
    <w:tmpl w:val="49441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9252F63"/>
    <w:multiLevelType w:val="multilevel"/>
    <w:tmpl w:val="2CB8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C93A18"/>
    <w:multiLevelType w:val="hybridMultilevel"/>
    <w:tmpl w:val="D44602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4485990"/>
    <w:multiLevelType w:val="multilevel"/>
    <w:tmpl w:val="50B80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B62AF9"/>
    <w:multiLevelType w:val="multilevel"/>
    <w:tmpl w:val="BA9C8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123CD7"/>
    <w:multiLevelType w:val="multilevel"/>
    <w:tmpl w:val="6870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BA64F7"/>
    <w:multiLevelType w:val="multilevel"/>
    <w:tmpl w:val="2A1A7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80247B"/>
    <w:multiLevelType w:val="multilevel"/>
    <w:tmpl w:val="90489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AD03D3"/>
    <w:multiLevelType w:val="multilevel"/>
    <w:tmpl w:val="D2E4E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DA282F"/>
    <w:multiLevelType w:val="multilevel"/>
    <w:tmpl w:val="85069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F31525"/>
    <w:multiLevelType w:val="multilevel"/>
    <w:tmpl w:val="A00ED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B34790"/>
    <w:multiLevelType w:val="multilevel"/>
    <w:tmpl w:val="56BC0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686190"/>
    <w:multiLevelType w:val="multilevel"/>
    <w:tmpl w:val="4336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A56BCA"/>
    <w:multiLevelType w:val="multilevel"/>
    <w:tmpl w:val="E384E7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34296C"/>
    <w:multiLevelType w:val="multilevel"/>
    <w:tmpl w:val="8B46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B335AE"/>
    <w:multiLevelType w:val="multilevel"/>
    <w:tmpl w:val="1B5E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8"/>
    <w:lvlOverride w:ilvl="0">
      <w:lvl w:ilvl="0">
        <w:numFmt w:val="decimal"/>
        <w:lvlText w:val="%1."/>
        <w:lvlJc w:val="left"/>
      </w:lvl>
    </w:lvlOverride>
  </w:num>
  <w:num w:numId="3">
    <w:abstractNumId w:val="0"/>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23"/>
    <w:lvlOverride w:ilvl="0">
      <w:lvl w:ilvl="0">
        <w:numFmt w:val="decimal"/>
        <w:lvlText w:val="%1."/>
        <w:lvlJc w:val="left"/>
      </w:lvl>
    </w:lvlOverride>
  </w:num>
  <w:num w:numId="6">
    <w:abstractNumId w:val="15"/>
  </w:num>
  <w:num w:numId="7">
    <w:abstractNumId w:val="26"/>
    <w:lvlOverride w:ilvl="0">
      <w:lvl w:ilvl="0">
        <w:numFmt w:val="decimal"/>
        <w:lvlText w:val="%1."/>
        <w:lvlJc w:val="left"/>
      </w:lvl>
    </w:lvlOverride>
  </w:num>
  <w:num w:numId="8">
    <w:abstractNumId w:val="27"/>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28"/>
    <w:lvlOverride w:ilvl="0">
      <w:lvl w:ilvl="0">
        <w:numFmt w:val="decimal"/>
        <w:lvlText w:val="%1."/>
        <w:lvlJc w:val="left"/>
      </w:lvl>
    </w:lvlOverride>
  </w:num>
  <w:num w:numId="12">
    <w:abstractNumId w:val="33"/>
  </w:num>
  <w:num w:numId="13">
    <w:abstractNumId w:val="7"/>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24"/>
  </w:num>
  <w:num w:numId="17">
    <w:abstractNumId w:val="6"/>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31"/>
  </w:num>
  <w:num w:numId="21">
    <w:abstractNumId w:val="1"/>
  </w:num>
  <w:num w:numId="22">
    <w:abstractNumId w:val="21"/>
  </w:num>
  <w:num w:numId="23">
    <w:abstractNumId w:val="3"/>
  </w:num>
  <w:num w:numId="24">
    <w:abstractNumId w:val="8"/>
  </w:num>
  <w:num w:numId="25">
    <w:abstractNumId w:val="2"/>
  </w:num>
  <w:num w:numId="26">
    <w:abstractNumId w:val="11"/>
    <w:lvlOverride w:ilvl="0">
      <w:lvl w:ilvl="0">
        <w:numFmt w:val="decimal"/>
        <w:lvlText w:val="%1."/>
        <w:lvlJc w:val="left"/>
      </w:lvl>
    </w:lvlOverride>
  </w:num>
  <w:num w:numId="27">
    <w:abstractNumId w:val="30"/>
    <w:lvlOverride w:ilvl="0">
      <w:lvl w:ilvl="0">
        <w:numFmt w:val="decimal"/>
        <w:lvlText w:val="%1."/>
        <w:lvlJc w:val="left"/>
      </w:lvl>
    </w:lvlOverride>
  </w:num>
  <w:num w:numId="28">
    <w:abstractNumId w:val="4"/>
    <w:lvlOverride w:ilvl="0">
      <w:lvl w:ilvl="0">
        <w:numFmt w:val="decimal"/>
        <w:lvlText w:val="%1."/>
        <w:lvlJc w:val="left"/>
      </w:lvl>
    </w:lvlOverride>
  </w:num>
  <w:num w:numId="29">
    <w:abstractNumId w:val="32"/>
    <w:lvlOverride w:ilvl="0">
      <w:lvl w:ilvl="0">
        <w:numFmt w:val="decimal"/>
        <w:lvlText w:val="%1."/>
        <w:lvlJc w:val="left"/>
      </w:lvl>
    </w:lvlOverride>
  </w:num>
  <w:num w:numId="30">
    <w:abstractNumId w:val="19"/>
  </w:num>
  <w:num w:numId="31">
    <w:abstractNumId w:val="20"/>
  </w:num>
  <w:num w:numId="32">
    <w:abstractNumId w:val="29"/>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5"/>
    <w:lvlOverride w:ilvl="0">
      <w:lvl w:ilvl="0">
        <w:numFmt w:val="decimal"/>
        <w:lvlText w:val="%1."/>
        <w:lvlJc w:val="left"/>
      </w:lvl>
    </w:lvlOverride>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738DB"/>
    <w:rsid w:val="001023E9"/>
    <w:rsid w:val="00293153"/>
    <w:rsid w:val="00382A32"/>
    <w:rsid w:val="004204C5"/>
    <w:rsid w:val="00494E60"/>
    <w:rsid w:val="004C7D77"/>
    <w:rsid w:val="007A6217"/>
    <w:rsid w:val="0090468F"/>
    <w:rsid w:val="009738DB"/>
    <w:rsid w:val="00DA2B09"/>
    <w:rsid w:val="00E1672B"/>
    <w:rsid w:val="00F51C9D"/>
    <w:rsid w:val="00F813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2B"/>
    <w:pPr>
      <w:widowControl w:val="0"/>
      <w:autoSpaceDE w:val="0"/>
      <w:autoSpaceDN w:val="0"/>
      <w:adjustRightInd w:val="0"/>
      <w:spacing w:after="0" w:line="240" w:lineRule="auto"/>
      <w:jc w:val="both"/>
    </w:pPr>
    <w:rPr>
      <w:rFonts w:ascii="Times New Roman" w:hAnsi="Times New Roman" w:cs="Arial"/>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38DB"/>
    <w:pPr>
      <w:widowControl/>
      <w:autoSpaceDE/>
      <w:autoSpaceDN/>
      <w:adjustRightInd/>
      <w:spacing w:before="100" w:beforeAutospacing="1" w:after="100" w:afterAutospacing="1"/>
      <w:jc w:val="left"/>
    </w:pPr>
    <w:rPr>
      <w:rFonts w:cs="Times New Roman"/>
      <w:szCs w:val="24"/>
    </w:rPr>
  </w:style>
  <w:style w:type="character" w:styleId="Lienhypertexte">
    <w:name w:val="Hyperlink"/>
    <w:basedOn w:val="Policepardfaut"/>
    <w:uiPriority w:val="99"/>
    <w:semiHidden/>
    <w:unhideWhenUsed/>
    <w:rsid w:val="009738DB"/>
    <w:rPr>
      <w:color w:val="0000FF"/>
      <w:u w:val="single"/>
    </w:rPr>
  </w:style>
  <w:style w:type="paragraph" w:styleId="Textedebulles">
    <w:name w:val="Balloon Text"/>
    <w:basedOn w:val="Normal"/>
    <w:link w:val="TextedebullesCar"/>
    <w:uiPriority w:val="99"/>
    <w:semiHidden/>
    <w:unhideWhenUsed/>
    <w:rsid w:val="009738DB"/>
    <w:rPr>
      <w:rFonts w:ascii="Tahoma" w:hAnsi="Tahoma" w:cs="Tahoma"/>
      <w:sz w:val="16"/>
      <w:szCs w:val="16"/>
    </w:rPr>
  </w:style>
  <w:style w:type="character" w:customStyle="1" w:styleId="TextedebullesCar">
    <w:name w:val="Texte de bulles Car"/>
    <w:basedOn w:val="Policepardfaut"/>
    <w:link w:val="Textedebulles"/>
    <w:uiPriority w:val="99"/>
    <w:semiHidden/>
    <w:rsid w:val="009738DB"/>
    <w:rPr>
      <w:rFonts w:ascii="Tahoma" w:hAnsi="Tahoma" w:cs="Tahoma"/>
      <w:sz w:val="16"/>
      <w:szCs w:val="16"/>
      <w:lang w:eastAsia="fr-FR"/>
    </w:rPr>
  </w:style>
  <w:style w:type="paragraph" w:styleId="En-tte">
    <w:name w:val="header"/>
    <w:basedOn w:val="Normal"/>
    <w:link w:val="En-tteCar"/>
    <w:uiPriority w:val="99"/>
    <w:unhideWhenUsed/>
    <w:rsid w:val="00F81302"/>
    <w:pPr>
      <w:tabs>
        <w:tab w:val="center" w:pos="4536"/>
        <w:tab w:val="right" w:pos="9072"/>
      </w:tabs>
    </w:pPr>
  </w:style>
  <w:style w:type="character" w:customStyle="1" w:styleId="En-tteCar">
    <w:name w:val="En-tête Car"/>
    <w:basedOn w:val="Policepardfaut"/>
    <w:link w:val="En-tte"/>
    <w:uiPriority w:val="99"/>
    <w:rsid w:val="00F81302"/>
    <w:rPr>
      <w:rFonts w:ascii="Times New Roman" w:hAnsi="Times New Roman" w:cs="Arial"/>
      <w:sz w:val="24"/>
      <w:lang w:eastAsia="fr-FR"/>
    </w:rPr>
  </w:style>
  <w:style w:type="paragraph" w:styleId="Pieddepage">
    <w:name w:val="footer"/>
    <w:basedOn w:val="Normal"/>
    <w:link w:val="PieddepageCar"/>
    <w:uiPriority w:val="99"/>
    <w:semiHidden/>
    <w:unhideWhenUsed/>
    <w:rsid w:val="00F81302"/>
    <w:pPr>
      <w:tabs>
        <w:tab w:val="center" w:pos="4536"/>
        <w:tab w:val="right" w:pos="9072"/>
      </w:tabs>
    </w:pPr>
  </w:style>
  <w:style w:type="character" w:customStyle="1" w:styleId="PieddepageCar">
    <w:name w:val="Pied de page Car"/>
    <w:basedOn w:val="Policepardfaut"/>
    <w:link w:val="Pieddepage"/>
    <w:uiPriority w:val="99"/>
    <w:semiHidden/>
    <w:rsid w:val="00F81302"/>
    <w:rPr>
      <w:rFonts w:ascii="Times New Roman" w:hAnsi="Times New Roman" w:cs="Arial"/>
      <w:sz w:val="24"/>
      <w:lang w:eastAsia="fr-FR"/>
    </w:rPr>
  </w:style>
</w:styles>
</file>

<file path=word/webSettings.xml><?xml version="1.0" encoding="utf-8"?>
<w:webSettings xmlns:r="http://schemas.openxmlformats.org/officeDocument/2006/relationships" xmlns:w="http://schemas.openxmlformats.org/wordprocessingml/2006/main">
  <w:divs>
    <w:div w:id="744454821">
      <w:bodyDiv w:val="1"/>
      <w:marLeft w:val="0"/>
      <w:marRight w:val="0"/>
      <w:marTop w:val="0"/>
      <w:marBottom w:val="0"/>
      <w:divBdr>
        <w:top w:val="none" w:sz="0" w:space="0" w:color="auto"/>
        <w:left w:val="none" w:sz="0" w:space="0" w:color="auto"/>
        <w:bottom w:val="none" w:sz="0" w:space="0" w:color="auto"/>
        <w:right w:val="none" w:sz="0" w:space="0" w:color="auto"/>
      </w:divBdr>
      <w:divsChild>
        <w:div w:id="1235553767">
          <w:marLeft w:val="0"/>
          <w:marRight w:val="0"/>
          <w:marTop w:val="0"/>
          <w:marBottom w:val="0"/>
          <w:divBdr>
            <w:top w:val="none" w:sz="0" w:space="0" w:color="auto"/>
            <w:left w:val="none" w:sz="0" w:space="0" w:color="auto"/>
            <w:bottom w:val="none" w:sz="0" w:space="0" w:color="auto"/>
            <w:right w:val="none" w:sz="0" w:space="0" w:color="auto"/>
          </w:divBdr>
        </w:div>
        <w:div w:id="871306698">
          <w:marLeft w:val="720"/>
          <w:marRight w:val="0"/>
          <w:marTop w:val="0"/>
          <w:marBottom w:val="0"/>
          <w:divBdr>
            <w:top w:val="none" w:sz="0" w:space="0" w:color="auto"/>
            <w:left w:val="none" w:sz="0" w:space="0" w:color="auto"/>
            <w:bottom w:val="none" w:sz="0" w:space="0" w:color="auto"/>
            <w:right w:val="none" w:sz="0" w:space="0" w:color="auto"/>
          </w:divBdr>
        </w:div>
        <w:div w:id="1618486236">
          <w:marLeft w:val="720"/>
          <w:marRight w:val="0"/>
          <w:marTop w:val="0"/>
          <w:marBottom w:val="0"/>
          <w:divBdr>
            <w:top w:val="none" w:sz="0" w:space="0" w:color="auto"/>
            <w:left w:val="none" w:sz="0" w:space="0" w:color="auto"/>
            <w:bottom w:val="none" w:sz="0" w:space="0" w:color="auto"/>
            <w:right w:val="none" w:sz="0" w:space="0" w:color="auto"/>
          </w:divBdr>
        </w:div>
        <w:div w:id="1825930024">
          <w:marLeft w:val="720"/>
          <w:marRight w:val="0"/>
          <w:marTop w:val="0"/>
          <w:marBottom w:val="0"/>
          <w:divBdr>
            <w:top w:val="none" w:sz="0" w:space="0" w:color="auto"/>
            <w:left w:val="none" w:sz="0" w:space="0" w:color="auto"/>
            <w:bottom w:val="none" w:sz="0" w:space="0" w:color="auto"/>
            <w:right w:val="none" w:sz="0" w:space="0" w:color="auto"/>
          </w:divBdr>
        </w:div>
        <w:div w:id="221068290">
          <w:marLeft w:val="720"/>
          <w:marRight w:val="0"/>
          <w:marTop w:val="0"/>
          <w:marBottom w:val="0"/>
          <w:divBdr>
            <w:top w:val="none" w:sz="0" w:space="0" w:color="auto"/>
            <w:left w:val="none" w:sz="0" w:space="0" w:color="auto"/>
            <w:bottom w:val="none" w:sz="0" w:space="0" w:color="auto"/>
            <w:right w:val="none" w:sz="0" w:space="0" w:color="auto"/>
          </w:divBdr>
        </w:div>
      </w:divsChild>
    </w:div>
    <w:div w:id="839662349">
      <w:bodyDiv w:val="1"/>
      <w:marLeft w:val="0"/>
      <w:marRight w:val="0"/>
      <w:marTop w:val="0"/>
      <w:marBottom w:val="0"/>
      <w:divBdr>
        <w:top w:val="none" w:sz="0" w:space="0" w:color="auto"/>
        <w:left w:val="none" w:sz="0" w:space="0" w:color="auto"/>
        <w:bottom w:val="none" w:sz="0" w:space="0" w:color="auto"/>
        <w:right w:val="none" w:sz="0" w:space="0" w:color="auto"/>
      </w:divBdr>
      <w:divsChild>
        <w:div w:id="1803419726">
          <w:marLeft w:val="720"/>
          <w:marRight w:val="0"/>
          <w:marTop w:val="0"/>
          <w:marBottom w:val="0"/>
          <w:divBdr>
            <w:top w:val="none" w:sz="0" w:space="0" w:color="auto"/>
            <w:left w:val="none" w:sz="0" w:space="0" w:color="auto"/>
            <w:bottom w:val="none" w:sz="0" w:space="0" w:color="auto"/>
            <w:right w:val="none" w:sz="0" w:space="0" w:color="auto"/>
          </w:divBdr>
        </w:div>
        <w:div w:id="1091272312">
          <w:marLeft w:val="720"/>
          <w:marRight w:val="0"/>
          <w:marTop w:val="0"/>
          <w:marBottom w:val="0"/>
          <w:divBdr>
            <w:top w:val="none" w:sz="0" w:space="0" w:color="auto"/>
            <w:left w:val="none" w:sz="0" w:space="0" w:color="auto"/>
            <w:bottom w:val="none" w:sz="0" w:space="0" w:color="auto"/>
            <w:right w:val="none" w:sz="0" w:space="0" w:color="auto"/>
          </w:divBdr>
        </w:div>
        <w:div w:id="1095828644">
          <w:marLeft w:val="720"/>
          <w:marRight w:val="0"/>
          <w:marTop w:val="0"/>
          <w:marBottom w:val="0"/>
          <w:divBdr>
            <w:top w:val="none" w:sz="0" w:space="0" w:color="auto"/>
            <w:left w:val="none" w:sz="0" w:space="0" w:color="auto"/>
            <w:bottom w:val="none" w:sz="0" w:space="0" w:color="auto"/>
            <w:right w:val="none" w:sz="0" w:space="0" w:color="auto"/>
          </w:divBdr>
        </w:div>
        <w:div w:id="1553420951">
          <w:marLeft w:val="720"/>
          <w:marRight w:val="0"/>
          <w:marTop w:val="0"/>
          <w:marBottom w:val="0"/>
          <w:divBdr>
            <w:top w:val="none" w:sz="0" w:space="0" w:color="auto"/>
            <w:left w:val="none" w:sz="0" w:space="0" w:color="auto"/>
            <w:bottom w:val="none" w:sz="0" w:space="0" w:color="auto"/>
            <w:right w:val="none" w:sz="0" w:space="0" w:color="auto"/>
          </w:divBdr>
        </w:div>
        <w:div w:id="784349359">
          <w:marLeft w:val="720"/>
          <w:marRight w:val="0"/>
          <w:marTop w:val="0"/>
          <w:marBottom w:val="0"/>
          <w:divBdr>
            <w:top w:val="none" w:sz="0" w:space="0" w:color="auto"/>
            <w:left w:val="none" w:sz="0" w:space="0" w:color="auto"/>
            <w:bottom w:val="none" w:sz="0" w:space="0" w:color="auto"/>
            <w:right w:val="none" w:sz="0" w:space="0" w:color="auto"/>
          </w:divBdr>
        </w:div>
      </w:divsChild>
    </w:div>
    <w:div w:id="1809396402">
      <w:bodyDiv w:val="1"/>
      <w:marLeft w:val="0"/>
      <w:marRight w:val="0"/>
      <w:marTop w:val="0"/>
      <w:marBottom w:val="0"/>
      <w:divBdr>
        <w:top w:val="none" w:sz="0" w:space="0" w:color="auto"/>
        <w:left w:val="none" w:sz="0" w:space="0" w:color="auto"/>
        <w:bottom w:val="none" w:sz="0" w:space="0" w:color="auto"/>
        <w:right w:val="none" w:sz="0" w:space="0" w:color="auto"/>
      </w:divBdr>
      <w:divsChild>
        <w:div w:id="491913933">
          <w:marLeft w:val="0"/>
          <w:marRight w:val="0"/>
          <w:marTop w:val="0"/>
          <w:marBottom w:val="0"/>
          <w:divBdr>
            <w:top w:val="none" w:sz="0" w:space="0" w:color="auto"/>
            <w:left w:val="none" w:sz="0" w:space="0" w:color="auto"/>
            <w:bottom w:val="none" w:sz="0" w:space="0" w:color="auto"/>
            <w:right w:val="none" w:sz="0" w:space="0" w:color="auto"/>
          </w:divBdr>
        </w:div>
        <w:div w:id="1812208560">
          <w:marLeft w:val="720"/>
          <w:marRight w:val="0"/>
          <w:marTop w:val="0"/>
          <w:marBottom w:val="0"/>
          <w:divBdr>
            <w:top w:val="none" w:sz="0" w:space="0" w:color="auto"/>
            <w:left w:val="none" w:sz="0" w:space="0" w:color="auto"/>
            <w:bottom w:val="none" w:sz="0" w:space="0" w:color="auto"/>
            <w:right w:val="none" w:sz="0" w:space="0" w:color="auto"/>
          </w:divBdr>
        </w:div>
        <w:div w:id="376660362">
          <w:marLeft w:val="720"/>
          <w:marRight w:val="0"/>
          <w:marTop w:val="0"/>
          <w:marBottom w:val="0"/>
          <w:divBdr>
            <w:top w:val="none" w:sz="0" w:space="0" w:color="auto"/>
            <w:left w:val="none" w:sz="0" w:space="0" w:color="auto"/>
            <w:bottom w:val="none" w:sz="0" w:space="0" w:color="auto"/>
            <w:right w:val="none" w:sz="0" w:space="0" w:color="auto"/>
          </w:divBdr>
        </w:div>
        <w:div w:id="1520462567">
          <w:marLeft w:val="720"/>
          <w:marRight w:val="0"/>
          <w:marTop w:val="0"/>
          <w:marBottom w:val="0"/>
          <w:divBdr>
            <w:top w:val="none" w:sz="0" w:space="0" w:color="auto"/>
            <w:left w:val="none" w:sz="0" w:space="0" w:color="auto"/>
            <w:bottom w:val="none" w:sz="0" w:space="0" w:color="auto"/>
            <w:right w:val="none" w:sz="0" w:space="0" w:color="auto"/>
          </w:divBdr>
        </w:div>
        <w:div w:id="1903365921">
          <w:marLeft w:val="720"/>
          <w:marRight w:val="0"/>
          <w:marTop w:val="0"/>
          <w:marBottom w:val="0"/>
          <w:divBdr>
            <w:top w:val="none" w:sz="0" w:space="0" w:color="auto"/>
            <w:left w:val="none" w:sz="0" w:space="0" w:color="auto"/>
            <w:bottom w:val="none" w:sz="0" w:space="0" w:color="auto"/>
            <w:right w:val="none" w:sz="0" w:space="0" w:color="auto"/>
          </w:divBdr>
        </w:div>
        <w:div w:id="835919969">
          <w:marLeft w:val="720"/>
          <w:marRight w:val="0"/>
          <w:marTop w:val="0"/>
          <w:marBottom w:val="0"/>
          <w:divBdr>
            <w:top w:val="none" w:sz="0" w:space="0" w:color="auto"/>
            <w:left w:val="none" w:sz="0" w:space="0" w:color="auto"/>
            <w:bottom w:val="none" w:sz="0" w:space="0" w:color="auto"/>
            <w:right w:val="none" w:sz="0" w:space="0" w:color="auto"/>
          </w:divBdr>
        </w:div>
        <w:div w:id="324162235">
          <w:marLeft w:val="720"/>
          <w:marRight w:val="0"/>
          <w:marTop w:val="0"/>
          <w:marBottom w:val="0"/>
          <w:divBdr>
            <w:top w:val="none" w:sz="0" w:space="0" w:color="auto"/>
            <w:left w:val="none" w:sz="0" w:space="0" w:color="auto"/>
            <w:bottom w:val="none" w:sz="0" w:space="0" w:color="auto"/>
            <w:right w:val="none" w:sz="0" w:space="0" w:color="auto"/>
          </w:divBdr>
        </w:div>
        <w:div w:id="221989866">
          <w:marLeft w:val="720"/>
          <w:marRight w:val="0"/>
          <w:marTop w:val="0"/>
          <w:marBottom w:val="0"/>
          <w:divBdr>
            <w:top w:val="none" w:sz="0" w:space="0" w:color="auto"/>
            <w:left w:val="none" w:sz="0" w:space="0" w:color="auto"/>
            <w:bottom w:val="none" w:sz="0" w:space="0" w:color="auto"/>
            <w:right w:val="none" w:sz="0" w:space="0" w:color="auto"/>
          </w:divBdr>
        </w:div>
        <w:div w:id="50661581">
          <w:marLeft w:val="720"/>
          <w:marRight w:val="0"/>
          <w:marTop w:val="0"/>
          <w:marBottom w:val="0"/>
          <w:divBdr>
            <w:top w:val="none" w:sz="0" w:space="0" w:color="auto"/>
            <w:left w:val="none" w:sz="0" w:space="0" w:color="auto"/>
            <w:bottom w:val="none" w:sz="0" w:space="0" w:color="auto"/>
            <w:right w:val="none" w:sz="0" w:space="0" w:color="auto"/>
          </w:divBdr>
        </w:div>
        <w:div w:id="561135364">
          <w:marLeft w:val="720"/>
          <w:marRight w:val="0"/>
          <w:marTop w:val="0"/>
          <w:marBottom w:val="0"/>
          <w:divBdr>
            <w:top w:val="none" w:sz="0" w:space="0" w:color="auto"/>
            <w:left w:val="none" w:sz="0" w:space="0" w:color="auto"/>
            <w:bottom w:val="none" w:sz="0" w:space="0" w:color="auto"/>
            <w:right w:val="none" w:sz="0" w:space="0" w:color="auto"/>
          </w:divBdr>
        </w:div>
        <w:div w:id="1481995919">
          <w:marLeft w:val="720"/>
          <w:marRight w:val="0"/>
          <w:marTop w:val="0"/>
          <w:marBottom w:val="0"/>
          <w:divBdr>
            <w:top w:val="none" w:sz="0" w:space="0" w:color="auto"/>
            <w:left w:val="none" w:sz="0" w:space="0" w:color="auto"/>
            <w:bottom w:val="none" w:sz="0" w:space="0" w:color="auto"/>
            <w:right w:val="none" w:sz="0" w:space="0" w:color="auto"/>
          </w:divBdr>
        </w:div>
        <w:div w:id="1148475318">
          <w:marLeft w:val="720"/>
          <w:marRight w:val="0"/>
          <w:marTop w:val="0"/>
          <w:marBottom w:val="0"/>
          <w:divBdr>
            <w:top w:val="none" w:sz="0" w:space="0" w:color="auto"/>
            <w:left w:val="none" w:sz="0" w:space="0" w:color="auto"/>
            <w:bottom w:val="none" w:sz="0" w:space="0" w:color="auto"/>
            <w:right w:val="none" w:sz="0" w:space="0" w:color="auto"/>
          </w:divBdr>
        </w:div>
        <w:div w:id="802698017">
          <w:marLeft w:val="720"/>
          <w:marRight w:val="0"/>
          <w:marTop w:val="0"/>
          <w:marBottom w:val="0"/>
          <w:divBdr>
            <w:top w:val="none" w:sz="0" w:space="0" w:color="auto"/>
            <w:left w:val="none" w:sz="0" w:space="0" w:color="auto"/>
            <w:bottom w:val="none" w:sz="0" w:space="0" w:color="auto"/>
            <w:right w:val="none" w:sz="0" w:space="0" w:color="auto"/>
          </w:divBdr>
        </w:div>
        <w:div w:id="1698700924">
          <w:marLeft w:val="720"/>
          <w:marRight w:val="0"/>
          <w:marTop w:val="0"/>
          <w:marBottom w:val="0"/>
          <w:divBdr>
            <w:top w:val="none" w:sz="0" w:space="0" w:color="auto"/>
            <w:left w:val="none" w:sz="0" w:space="0" w:color="auto"/>
            <w:bottom w:val="none" w:sz="0" w:space="0" w:color="auto"/>
            <w:right w:val="none" w:sz="0" w:space="0" w:color="auto"/>
          </w:divBdr>
        </w:div>
        <w:div w:id="481192878">
          <w:marLeft w:val="720"/>
          <w:marRight w:val="0"/>
          <w:marTop w:val="0"/>
          <w:marBottom w:val="0"/>
          <w:divBdr>
            <w:top w:val="none" w:sz="0" w:space="0" w:color="auto"/>
            <w:left w:val="none" w:sz="0" w:space="0" w:color="auto"/>
            <w:bottom w:val="none" w:sz="0" w:space="0" w:color="auto"/>
            <w:right w:val="none" w:sz="0" w:space="0" w:color="auto"/>
          </w:divBdr>
        </w:div>
        <w:div w:id="1685784970">
          <w:marLeft w:val="720"/>
          <w:marRight w:val="0"/>
          <w:marTop w:val="0"/>
          <w:marBottom w:val="0"/>
          <w:divBdr>
            <w:top w:val="none" w:sz="0" w:space="0" w:color="auto"/>
            <w:left w:val="none" w:sz="0" w:space="0" w:color="auto"/>
            <w:bottom w:val="none" w:sz="0" w:space="0" w:color="auto"/>
            <w:right w:val="none" w:sz="0" w:space="0" w:color="auto"/>
          </w:divBdr>
        </w:div>
        <w:div w:id="1273708305">
          <w:marLeft w:val="720"/>
          <w:marRight w:val="0"/>
          <w:marTop w:val="0"/>
          <w:marBottom w:val="0"/>
          <w:divBdr>
            <w:top w:val="none" w:sz="0" w:space="0" w:color="auto"/>
            <w:left w:val="none" w:sz="0" w:space="0" w:color="auto"/>
            <w:bottom w:val="none" w:sz="0" w:space="0" w:color="auto"/>
            <w:right w:val="none" w:sz="0" w:space="0" w:color="auto"/>
          </w:divBdr>
        </w:div>
        <w:div w:id="869759431">
          <w:marLeft w:val="720"/>
          <w:marRight w:val="0"/>
          <w:marTop w:val="0"/>
          <w:marBottom w:val="0"/>
          <w:divBdr>
            <w:top w:val="none" w:sz="0" w:space="0" w:color="auto"/>
            <w:left w:val="none" w:sz="0" w:space="0" w:color="auto"/>
            <w:bottom w:val="none" w:sz="0" w:space="0" w:color="auto"/>
            <w:right w:val="none" w:sz="0" w:space="0" w:color="auto"/>
          </w:divBdr>
        </w:div>
        <w:div w:id="1692216875">
          <w:marLeft w:val="720"/>
          <w:marRight w:val="0"/>
          <w:marTop w:val="0"/>
          <w:marBottom w:val="0"/>
          <w:divBdr>
            <w:top w:val="none" w:sz="0" w:space="0" w:color="auto"/>
            <w:left w:val="none" w:sz="0" w:space="0" w:color="auto"/>
            <w:bottom w:val="none" w:sz="0" w:space="0" w:color="auto"/>
            <w:right w:val="none" w:sz="0" w:space="0" w:color="auto"/>
          </w:divBdr>
        </w:div>
        <w:div w:id="2038969381">
          <w:marLeft w:val="720"/>
          <w:marRight w:val="0"/>
          <w:marTop w:val="0"/>
          <w:marBottom w:val="0"/>
          <w:divBdr>
            <w:top w:val="none" w:sz="0" w:space="0" w:color="auto"/>
            <w:left w:val="none" w:sz="0" w:space="0" w:color="auto"/>
            <w:bottom w:val="none" w:sz="0" w:space="0" w:color="auto"/>
            <w:right w:val="none" w:sz="0" w:space="0" w:color="auto"/>
          </w:divBdr>
        </w:div>
        <w:div w:id="1245527095">
          <w:marLeft w:val="0"/>
          <w:marRight w:val="0"/>
          <w:marTop w:val="0"/>
          <w:marBottom w:val="0"/>
          <w:divBdr>
            <w:top w:val="none" w:sz="0" w:space="0" w:color="auto"/>
            <w:left w:val="none" w:sz="0" w:space="0" w:color="auto"/>
            <w:bottom w:val="none" w:sz="0" w:space="0" w:color="auto"/>
            <w:right w:val="none" w:sz="0" w:space="0" w:color="auto"/>
          </w:divBdr>
        </w:div>
        <w:div w:id="45969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2383662?sommaire=2383694" TargetMode="External"/><Relationship Id="rId13" Type="http://schemas.openxmlformats.org/officeDocument/2006/relationships/hyperlink" Target="https://www.insee.fr/fr/statistiques/fichier/1374366/HISTO14_b_D1_eco.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financepourtous.com/Decryptages/Dossiers/Consommation/Consommation-des-menag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ee.fr/fr/statistiques/2020471?sommaire=2020282&amp;q=%C3%A9pargn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see.fr/fr/statistiques/2383640?sommaire=2383694" TargetMode="External"/><Relationship Id="rId14" Type="http://schemas.openxmlformats.org/officeDocument/2006/relationships/hyperlink" Target="https://www.insee.fr/fr/statistiques/1374366?sommaire=13743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1406</Words>
  <Characters>7738</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dcterms:created xsi:type="dcterms:W3CDTF">2017-03-06T10:58:00Z</dcterms:created>
  <dcterms:modified xsi:type="dcterms:W3CDTF">2017-06-27T12:18:00Z</dcterms:modified>
</cp:coreProperties>
</file>