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2D" w:rsidRPr="00B323AB" w:rsidRDefault="00AE522D" w:rsidP="00AE522D">
      <w:pPr>
        <w:pStyle w:val="Sansinterligne"/>
        <w:rPr>
          <w:rFonts w:ascii="Times New Roman" w:hAnsi="Times New Roman"/>
          <w:sz w:val="24"/>
          <w:szCs w:val="24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2543810</wp:posOffset>
            </wp:positionH>
            <wp:positionV relativeFrom="margin">
              <wp:posOffset>-304800</wp:posOffset>
            </wp:positionV>
            <wp:extent cx="937895" cy="939800"/>
            <wp:effectExtent l="19050" t="0" r="0" b="0"/>
            <wp:wrapSquare wrapText="bothSides"/>
            <wp:docPr id="3" name="Image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780EFB">
        <w:rPr>
          <w:rFonts w:ascii="Times New Roman" w:hAnsi="Times New Roman"/>
          <w:sz w:val="24"/>
        </w:rPr>
        <w:t xml:space="preserve">Lien vers la </w:t>
      </w:r>
      <w:r w:rsidRPr="00B323AB">
        <w:rPr>
          <w:rFonts w:ascii="Times New Roman" w:hAnsi="Times New Roman"/>
          <w:sz w:val="24"/>
          <w:szCs w:val="24"/>
        </w:rPr>
        <w:t xml:space="preserve">vidéo : </w:t>
      </w:r>
      <w:hyperlink r:id="rId6" w:history="1">
        <w:r w:rsidRPr="008F3BAE">
          <w:rPr>
            <w:rStyle w:val="Lienhypertexte"/>
            <w:rFonts w:ascii="Times New Roman" w:hAnsi="Times New Roman"/>
            <w:sz w:val="24"/>
            <w:szCs w:val="24"/>
          </w:rPr>
          <w:t>http://acver.fr/3ka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E522D" w:rsidRDefault="00AE522D" w:rsidP="00AE522D">
      <w:pPr>
        <w:pStyle w:val="Sansinterligne"/>
        <w:rPr>
          <w:rFonts w:ascii="Times New Roman" w:hAnsi="Times New Roman"/>
          <w:sz w:val="24"/>
        </w:rPr>
      </w:pPr>
    </w:p>
    <w:p w:rsidR="00AE522D" w:rsidRDefault="00AE522D" w:rsidP="00AE522D">
      <w:pPr>
        <w:pStyle w:val="Sansinterligne"/>
        <w:rPr>
          <w:rFonts w:ascii="Times New Roman" w:hAnsi="Times New Roman"/>
          <w:sz w:val="24"/>
        </w:rPr>
      </w:pPr>
    </w:p>
    <w:p w:rsidR="00AE522D" w:rsidRDefault="00AE522D" w:rsidP="00AE522D">
      <w:pPr>
        <w:pStyle w:val="Sansinterligne"/>
        <w:rPr>
          <w:rFonts w:ascii="Times New Roman" w:hAnsi="Times New Roman"/>
          <w:sz w:val="24"/>
        </w:rPr>
      </w:pPr>
    </w:p>
    <w:p w:rsidR="00AE522D" w:rsidRPr="00780EFB" w:rsidRDefault="00AE522D" w:rsidP="00AE522D">
      <w:pPr>
        <w:pStyle w:val="Sansinterligne"/>
        <w:rPr>
          <w:rFonts w:ascii="Times New Roman" w:hAnsi="Times New Roman"/>
          <w:sz w:val="24"/>
        </w:rPr>
      </w:pP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Qu’est-ce qu’une banque centrale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A qui la banque centrale prête-t-elle de la monnaie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Comment s’appelle le taux d’intérêt pratiqué par la banque centrale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Qu’est-ce que le « marché monétaire » ? Le marché interbancaire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Quelles sont les trois raisons pour lesquelles les banques commerciales ont besoin de monnaie centrale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Pourquoi la banque centrale contrôle-t-elle la création monétaire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A quoi correspond le rôle de « prêteur en dernier ressort » de la banque centrale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>Quels sont les deux outils permettant à la banque centrale de contrôler la création monétaire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 xml:space="preserve">Quelles sont les conséquences d’une hausse des taux directeurs et du taux de </w:t>
      </w:r>
      <w:r w:rsidR="001076D6">
        <w:rPr>
          <w:rFonts w:ascii="Times New Roman" w:hAnsi="Times New Roman"/>
          <w:sz w:val="24"/>
        </w:rPr>
        <w:t>réserves</w:t>
      </w:r>
      <w:r w:rsidRPr="00780EFB">
        <w:rPr>
          <w:rFonts w:ascii="Times New Roman" w:hAnsi="Times New Roman"/>
          <w:sz w:val="24"/>
        </w:rPr>
        <w:t xml:space="preserve"> obligatoires ?</w:t>
      </w:r>
    </w:p>
    <w:p w:rsidR="00AE522D" w:rsidRPr="00780EFB" w:rsidRDefault="00AE522D" w:rsidP="00AE522D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 w:rsidRPr="00780EFB">
        <w:rPr>
          <w:rFonts w:ascii="Times New Roman" w:hAnsi="Times New Roman"/>
          <w:sz w:val="24"/>
        </w:rPr>
        <w:t xml:space="preserve">Quelles sont les conséquence d’une baisse des taux directeurs et du taux de </w:t>
      </w:r>
      <w:r w:rsidR="001076D6">
        <w:rPr>
          <w:rFonts w:ascii="Times New Roman" w:hAnsi="Times New Roman"/>
          <w:sz w:val="24"/>
        </w:rPr>
        <w:t>réserves</w:t>
      </w:r>
      <w:r w:rsidRPr="00780EFB">
        <w:rPr>
          <w:rFonts w:ascii="Times New Roman" w:hAnsi="Times New Roman"/>
          <w:sz w:val="24"/>
        </w:rPr>
        <w:t xml:space="preserve"> obligatoires ?</w:t>
      </w:r>
    </w:p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F1FCF"/>
    <w:multiLevelType w:val="hybridMultilevel"/>
    <w:tmpl w:val="69F433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522D"/>
    <w:rsid w:val="001023E9"/>
    <w:rsid w:val="001076D6"/>
    <w:rsid w:val="00293153"/>
    <w:rsid w:val="00494E60"/>
    <w:rsid w:val="0090468F"/>
    <w:rsid w:val="00AE522D"/>
    <w:rsid w:val="00C071B2"/>
    <w:rsid w:val="00FD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E522D"/>
    <w:pPr>
      <w:spacing w:after="0" w:line="240" w:lineRule="auto"/>
      <w:jc w:val="both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E5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ver.fr/3k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2016-03-15T16:33:00Z</dcterms:created>
  <dcterms:modified xsi:type="dcterms:W3CDTF">2016-04-25T07:03:00Z</dcterms:modified>
</cp:coreProperties>
</file>