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BB8" w:rsidRPr="00825C08" w:rsidRDefault="00183D54" w:rsidP="00F24D87">
      <w:pPr>
        <w:pBdr>
          <w:top w:val="single" w:sz="4" w:space="1" w:color="auto"/>
          <w:left w:val="single" w:sz="4" w:space="4" w:color="auto"/>
          <w:bottom w:val="single" w:sz="4" w:space="1" w:color="auto"/>
          <w:right w:val="single" w:sz="4" w:space="4" w:color="auto"/>
        </w:pBdr>
        <w:jc w:val="center"/>
        <w:rPr>
          <w:b/>
          <w:sz w:val="32"/>
          <w:szCs w:val="32"/>
        </w:rPr>
      </w:pPr>
      <w:r w:rsidRPr="00825C08">
        <w:rPr>
          <w:b/>
          <w:sz w:val="32"/>
          <w:szCs w:val="32"/>
        </w:rPr>
        <w:t>Economie 1.4 :</w:t>
      </w:r>
      <w:r w:rsidR="00E07FCA" w:rsidRPr="00825C08">
        <w:rPr>
          <w:b/>
          <w:sz w:val="32"/>
          <w:szCs w:val="32"/>
        </w:rPr>
        <w:t xml:space="preserve"> </w:t>
      </w:r>
      <w:r w:rsidRPr="00825C08">
        <w:rPr>
          <w:b/>
          <w:sz w:val="32"/>
          <w:szCs w:val="32"/>
        </w:rPr>
        <w:t xml:space="preserve">Quels sont les grands équilibres macroéconomiques </w:t>
      </w:r>
      <w:r w:rsidR="00E07FCA" w:rsidRPr="00825C08">
        <w:rPr>
          <w:b/>
          <w:sz w:val="32"/>
          <w:szCs w:val="32"/>
        </w:rPr>
        <w:t>?</w:t>
      </w:r>
    </w:p>
    <w:p w:rsidR="00997F5E" w:rsidRPr="00825C08" w:rsidRDefault="00F24D87" w:rsidP="00997F5E">
      <w:pPr>
        <w:pBdr>
          <w:bottom w:val="single" w:sz="4" w:space="1" w:color="auto"/>
        </w:pBdr>
        <w:rPr>
          <w:b/>
          <w:sz w:val="28"/>
          <w:szCs w:val="28"/>
        </w:rPr>
      </w:pPr>
      <w:r w:rsidRPr="00825C08">
        <w:rPr>
          <w:b/>
          <w:sz w:val="28"/>
          <w:szCs w:val="28"/>
        </w:rPr>
        <w:t>Activité</w:t>
      </w:r>
      <w:r w:rsidR="00997F5E" w:rsidRPr="00825C08">
        <w:rPr>
          <w:b/>
          <w:sz w:val="28"/>
          <w:szCs w:val="28"/>
        </w:rPr>
        <w:t xml:space="preserve"> : </w:t>
      </w:r>
      <w:r w:rsidRPr="00825C08">
        <w:rPr>
          <w:b/>
          <w:sz w:val="28"/>
          <w:szCs w:val="28"/>
        </w:rPr>
        <w:t>Analyse de l’économie d’Inversland</w:t>
      </w:r>
    </w:p>
    <w:p w:rsidR="00F24D87" w:rsidRPr="00825C08" w:rsidRDefault="00F24D87" w:rsidP="00F24D87">
      <w:pPr>
        <w:rPr>
          <w:sz w:val="22"/>
        </w:rPr>
      </w:pPr>
      <w:r w:rsidRPr="00825C08">
        <w:rPr>
          <w:sz w:val="22"/>
        </w:rPr>
        <w:t>Voici la situation d’Inversland, dont la monnaie nationale est l’éco, en 2014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72"/>
        <w:gridCol w:w="3072"/>
      </w:tblGrid>
      <w:tr w:rsidR="00F24D87" w:rsidRPr="00825C08" w:rsidTr="00F24D87">
        <w:trPr>
          <w:trHeight w:val="273"/>
          <w:jc w:val="center"/>
        </w:trPr>
        <w:tc>
          <w:tcPr>
            <w:tcW w:w="3072" w:type="dxa"/>
            <w:shd w:val="clear" w:color="auto" w:fill="auto"/>
            <w:vAlign w:val="center"/>
          </w:tcPr>
          <w:p w:rsidR="00F24D87" w:rsidRPr="00825C08" w:rsidRDefault="00F24D87" w:rsidP="00F24D87">
            <w:pPr>
              <w:pStyle w:val="Sansinterligne"/>
              <w:rPr>
                <w:sz w:val="22"/>
              </w:rPr>
            </w:pPr>
          </w:p>
        </w:tc>
        <w:tc>
          <w:tcPr>
            <w:tcW w:w="3072" w:type="dxa"/>
            <w:shd w:val="clear" w:color="auto" w:fill="auto"/>
            <w:vAlign w:val="center"/>
          </w:tcPr>
          <w:p w:rsidR="00F24D87" w:rsidRPr="00825C08" w:rsidRDefault="00F24D87" w:rsidP="00F24D87">
            <w:pPr>
              <w:pStyle w:val="Sansinterligne"/>
              <w:jc w:val="center"/>
              <w:rPr>
                <w:b/>
                <w:sz w:val="22"/>
              </w:rPr>
            </w:pPr>
            <w:r w:rsidRPr="00825C08">
              <w:rPr>
                <w:b/>
                <w:sz w:val="22"/>
              </w:rPr>
              <w:t>Montant en 2014 (en milliards d’éco)</w:t>
            </w:r>
          </w:p>
        </w:tc>
      </w:tr>
      <w:tr w:rsidR="00F24D87" w:rsidRPr="00825C08" w:rsidTr="00F24D87">
        <w:trPr>
          <w:trHeight w:val="273"/>
          <w:jc w:val="center"/>
        </w:trPr>
        <w:tc>
          <w:tcPr>
            <w:tcW w:w="3072" w:type="dxa"/>
            <w:shd w:val="clear" w:color="auto" w:fill="auto"/>
            <w:vAlign w:val="center"/>
          </w:tcPr>
          <w:p w:rsidR="00F24D87" w:rsidRPr="00825C08" w:rsidRDefault="00F24D87" w:rsidP="00F24D87">
            <w:pPr>
              <w:pStyle w:val="Sansinterligne"/>
              <w:rPr>
                <w:sz w:val="22"/>
              </w:rPr>
            </w:pPr>
            <w:r w:rsidRPr="00825C08">
              <w:rPr>
                <w:sz w:val="22"/>
              </w:rPr>
              <w:t>PIB</w:t>
            </w:r>
          </w:p>
        </w:tc>
        <w:tc>
          <w:tcPr>
            <w:tcW w:w="3072" w:type="dxa"/>
            <w:shd w:val="clear" w:color="auto" w:fill="auto"/>
            <w:vAlign w:val="center"/>
          </w:tcPr>
          <w:p w:rsidR="00F24D87" w:rsidRPr="00825C08" w:rsidRDefault="00F24D87" w:rsidP="00F24D87">
            <w:pPr>
              <w:pStyle w:val="Sansinterligne"/>
              <w:jc w:val="center"/>
              <w:rPr>
                <w:sz w:val="22"/>
              </w:rPr>
            </w:pPr>
            <w:r w:rsidRPr="00825C08">
              <w:rPr>
                <w:sz w:val="22"/>
              </w:rPr>
              <w:t>1000</w:t>
            </w:r>
          </w:p>
        </w:tc>
      </w:tr>
      <w:tr w:rsidR="00F24D87" w:rsidRPr="00825C08" w:rsidTr="00F24D87">
        <w:trPr>
          <w:trHeight w:val="249"/>
          <w:jc w:val="center"/>
        </w:trPr>
        <w:tc>
          <w:tcPr>
            <w:tcW w:w="3072" w:type="dxa"/>
            <w:shd w:val="clear" w:color="auto" w:fill="auto"/>
            <w:vAlign w:val="center"/>
          </w:tcPr>
          <w:p w:rsidR="00F24D87" w:rsidRPr="00825C08" w:rsidRDefault="00F24D87" w:rsidP="00F24D87">
            <w:pPr>
              <w:pStyle w:val="Sansinterligne"/>
              <w:rPr>
                <w:sz w:val="22"/>
              </w:rPr>
            </w:pPr>
            <w:r w:rsidRPr="00825C08">
              <w:rPr>
                <w:sz w:val="22"/>
              </w:rPr>
              <w:t>Production nationale (VA)</w:t>
            </w:r>
          </w:p>
        </w:tc>
        <w:tc>
          <w:tcPr>
            <w:tcW w:w="3072" w:type="dxa"/>
            <w:shd w:val="clear" w:color="auto" w:fill="auto"/>
            <w:vAlign w:val="center"/>
          </w:tcPr>
          <w:p w:rsidR="00F24D87" w:rsidRPr="00825C08" w:rsidRDefault="00F24D87" w:rsidP="00F24D87">
            <w:pPr>
              <w:pStyle w:val="Sansinterligne"/>
              <w:jc w:val="center"/>
              <w:rPr>
                <w:sz w:val="22"/>
              </w:rPr>
            </w:pPr>
            <w:r w:rsidRPr="00825C08">
              <w:rPr>
                <w:sz w:val="22"/>
              </w:rPr>
              <w:t>1600</w:t>
            </w:r>
          </w:p>
        </w:tc>
      </w:tr>
      <w:tr w:rsidR="00F24D87" w:rsidRPr="00825C08" w:rsidTr="00F24D87">
        <w:trPr>
          <w:trHeight w:val="249"/>
          <w:jc w:val="center"/>
        </w:trPr>
        <w:tc>
          <w:tcPr>
            <w:tcW w:w="3072" w:type="dxa"/>
            <w:shd w:val="clear" w:color="auto" w:fill="auto"/>
            <w:vAlign w:val="center"/>
          </w:tcPr>
          <w:p w:rsidR="00F24D87" w:rsidRPr="00825C08" w:rsidRDefault="00F24D87" w:rsidP="00F24D87">
            <w:pPr>
              <w:pStyle w:val="Sansinterligne"/>
              <w:rPr>
                <w:sz w:val="22"/>
              </w:rPr>
            </w:pPr>
            <w:r w:rsidRPr="00825C08">
              <w:rPr>
                <w:sz w:val="22"/>
              </w:rPr>
              <w:t>Consommation finale</w:t>
            </w:r>
          </w:p>
        </w:tc>
        <w:tc>
          <w:tcPr>
            <w:tcW w:w="3072" w:type="dxa"/>
            <w:shd w:val="clear" w:color="auto" w:fill="auto"/>
            <w:vAlign w:val="center"/>
          </w:tcPr>
          <w:p w:rsidR="00F24D87" w:rsidRPr="00825C08" w:rsidRDefault="00F24D87" w:rsidP="00F24D87">
            <w:pPr>
              <w:pStyle w:val="Sansinterligne"/>
              <w:jc w:val="center"/>
              <w:rPr>
                <w:sz w:val="22"/>
              </w:rPr>
            </w:pPr>
            <w:r w:rsidRPr="00825C08">
              <w:rPr>
                <w:sz w:val="22"/>
              </w:rPr>
              <w:t>800</w:t>
            </w:r>
          </w:p>
        </w:tc>
      </w:tr>
      <w:tr w:rsidR="00F24D87" w:rsidRPr="00825C08" w:rsidTr="00F24D87">
        <w:trPr>
          <w:trHeight w:val="273"/>
          <w:jc w:val="center"/>
        </w:trPr>
        <w:tc>
          <w:tcPr>
            <w:tcW w:w="3072" w:type="dxa"/>
            <w:shd w:val="clear" w:color="auto" w:fill="auto"/>
            <w:vAlign w:val="center"/>
          </w:tcPr>
          <w:p w:rsidR="00F24D87" w:rsidRPr="00825C08" w:rsidRDefault="00F24D87" w:rsidP="00F24D87">
            <w:pPr>
              <w:pStyle w:val="Sansinterligne"/>
              <w:rPr>
                <w:sz w:val="22"/>
              </w:rPr>
            </w:pPr>
            <w:r w:rsidRPr="00825C08">
              <w:rPr>
                <w:sz w:val="22"/>
              </w:rPr>
              <w:t>Consommations intermédiaires</w:t>
            </w:r>
          </w:p>
        </w:tc>
        <w:tc>
          <w:tcPr>
            <w:tcW w:w="3072" w:type="dxa"/>
            <w:shd w:val="clear" w:color="auto" w:fill="auto"/>
            <w:vAlign w:val="center"/>
          </w:tcPr>
          <w:p w:rsidR="00F24D87" w:rsidRPr="00825C08" w:rsidRDefault="00F24D87" w:rsidP="00F24D87">
            <w:pPr>
              <w:pStyle w:val="Sansinterligne"/>
              <w:jc w:val="center"/>
              <w:rPr>
                <w:sz w:val="22"/>
              </w:rPr>
            </w:pPr>
            <w:r w:rsidRPr="00825C08">
              <w:rPr>
                <w:sz w:val="22"/>
              </w:rPr>
              <w:t>600</w:t>
            </w:r>
          </w:p>
        </w:tc>
      </w:tr>
      <w:tr w:rsidR="00F24D87" w:rsidRPr="00825C08" w:rsidTr="00F24D87">
        <w:trPr>
          <w:trHeight w:val="273"/>
          <w:jc w:val="center"/>
        </w:trPr>
        <w:tc>
          <w:tcPr>
            <w:tcW w:w="3072" w:type="dxa"/>
            <w:shd w:val="clear" w:color="auto" w:fill="auto"/>
            <w:vAlign w:val="center"/>
          </w:tcPr>
          <w:p w:rsidR="00F24D87" w:rsidRPr="00825C08" w:rsidRDefault="00F24D87" w:rsidP="00F24D87">
            <w:pPr>
              <w:pStyle w:val="Sansinterligne"/>
              <w:rPr>
                <w:sz w:val="22"/>
              </w:rPr>
            </w:pPr>
            <w:r w:rsidRPr="00825C08">
              <w:rPr>
                <w:sz w:val="22"/>
              </w:rPr>
              <w:t>FBCF</w:t>
            </w:r>
          </w:p>
        </w:tc>
        <w:tc>
          <w:tcPr>
            <w:tcW w:w="3072" w:type="dxa"/>
            <w:shd w:val="clear" w:color="auto" w:fill="auto"/>
            <w:vAlign w:val="center"/>
          </w:tcPr>
          <w:p w:rsidR="00F24D87" w:rsidRPr="00825C08" w:rsidRDefault="00F24D87" w:rsidP="00F24D87">
            <w:pPr>
              <w:pStyle w:val="Sansinterligne"/>
              <w:jc w:val="center"/>
              <w:rPr>
                <w:sz w:val="22"/>
              </w:rPr>
            </w:pPr>
            <w:r w:rsidRPr="00825C08">
              <w:rPr>
                <w:sz w:val="22"/>
              </w:rPr>
              <w:t>250</w:t>
            </w:r>
          </w:p>
        </w:tc>
      </w:tr>
      <w:tr w:rsidR="00F24D87" w:rsidRPr="00825C08" w:rsidTr="00F24D87">
        <w:trPr>
          <w:trHeight w:val="249"/>
          <w:jc w:val="center"/>
        </w:trPr>
        <w:tc>
          <w:tcPr>
            <w:tcW w:w="3072" w:type="dxa"/>
            <w:shd w:val="clear" w:color="auto" w:fill="auto"/>
            <w:vAlign w:val="center"/>
          </w:tcPr>
          <w:p w:rsidR="00F24D87" w:rsidRPr="00825C08" w:rsidRDefault="00F24D87" w:rsidP="00F24D87">
            <w:pPr>
              <w:pStyle w:val="Sansinterligne"/>
              <w:rPr>
                <w:sz w:val="22"/>
              </w:rPr>
            </w:pPr>
            <w:r w:rsidRPr="00825C08">
              <w:rPr>
                <w:sz w:val="22"/>
              </w:rPr>
              <w:t>Importations</w:t>
            </w:r>
          </w:p>
        </w:tc>
        <w:tc>
          <w:tcPr>
            <w:tcW w:w="3072" w:type="dxa"/>
            <w:shd w:val="clear" w:color="auto" w:fill="auto"/>
            <w:vAlign w:val="center"/>
          </w:tcPr>
          <w:p w:rsidR="00F24D87" w:rsidRPr="00825C08" w:rsidRDefault="00F24D87" w:rsidP="00F24D87">
            <w:pPr>
              <w:pStyle w:val="Sansinterligne"/>
              <w:jc w:val="center"/>
              <w:rPr>
                <w:sz w:val="22"/>
              </w:rPr>
            </w:pPr>
            <w:r w:rsidRPr="00825C08">
              <w:rPr>
                <w:sz w:val="22"/>
              </w:rPr>
              <w:t>360</w:t>
            </w:r>
          </w:p>
        </w:tc>
      </w:tr>
      <w:tr w:rsidR="00F24D87" w:rsidRPr="00825C08" w:rsidTr="00F24D87">
        <w:trPr>
          <w:trHeight w:val="249"/>
          <w:jc w:val="center"/>
        </w:trPr>
        <w:tc>
          <w:tcPr>
            <w:tcW w:w="3072" w:type="dxa"/>
            <w:shd w:val="clear" w:color="auto" w:fill="auto"/>
            <w:vAlign w:val="center"/>
          </w:tcPr>
          <w:p w:rsidR="00F24D87" w:rsidRPr="00825C08" w:rsidRDefault="00F24D87" w:rsidP="00F24D87">
            <w:pPr>
              <w:pStyle w:val="Sansinterligne"/>
              <w:rPr>
                <w:sz w:val="22"/>
              </w:rPr>
            </w:pPr>
            <w:r w:rsidRPr="00825C08">
              <w:rPr>
                <w:sz w:val="22"/>
              </w:rPr>
              <w:t>Exportations</w:t>
            </w:r>
          </w:p>
        </w:tc>
        <w:tc>
          <w:tcPr>
            <w:tcW w:w="3072" w:type="dxa"/>
            <w:shd w:val="clear" w:color="auto" w:fill="auto"/>
            <w:vAlign w:val="center"/>
          </w:tcPr>
          <w:p w:rsidR="00F24D87" w:rsidRPr="00825C08" w:rsidRDefault="00F24D87" w:rsidP="00F24D87">
            <w:pPr>
              <w:pStyle w:val="Sansinterligne"/>
              <w:jc w:val="center"/>
              <w:rPr>
                <w:sz w:val="22"/>
              </w:rPr>
            </w:pPr>
            <w:r w:rsidRPr="00825C08">
              <w:rPr>
                <w:sz w:val="22"/>
              </w:rPr>
              <w:t>300</w:t>
            </w:r>
          </w:p>
        </w:tc>
      </w:tr>
      <w:tr w:rsidR="00F24D87" w:rsidRPr="00825C08" w:rsidTr="00F24D87">
        <w:trPr>
          <w:trHeight w:val="273"/>
          <w:jc w:val="center"/>
        </w:trPr>
        <w:tc>
          <w:tcPr>
            <w:tcW w:w="3072" w:type="dxa"/>
            <w:shd w:val="clear" w:color="auto" w:fill="auto"/>
            <w:vAlign w:val="center"/>
          </w:tcPr>
          <w:p w:rsidR="00F24D87" w:rsidRPr="00825C08" w:rsidRDefault="00F24D87" w:rsidP="00F24D87">
            <w:pPr>
              <w:pStyle w:val="Sansinterligne"/>
              <w:rPr>
                <w:sz w:val="22"/>
              </w:rPr>
            </w:pPr>
            <w:r w:rsidRPr="00825C08">
              <w:rPr>
                <w:sz w:val="22"/>
              </w:rPr>
              <w:t>Variation des stocks</w:t>
            </w:r>
          </w:p>
        </w:tc>
        <w:tc>
          <w:tcPr>
            <w:tcW w:w="3072" w:type="dxa"/>
            <w:shd w:val="clear" w:color="auto" w:fill="auto"/>
            <w:vAlign w:val="center"/>
          </w:tcPr>
          <w:p w:rsidR="00F24D87" w:rsidRPr="00825C08" w:rsidRDefault="00F24D87" w:rsidP="00F24D87">
            <w:pPr>
              <w:pStyle w:val="Sansinterligne"/>
              <w:jc w:val="center"/>
              <w:rPr>
                <w:sz w:val="22"/>
              </w:rPr>
            </w:pPr>
            <w:r w:rsidRPr="00825C08">
              <w:rPr>
                <w:sz w:val="22"/>
              </w:rPr>
              <w:t>10</w:t>
            </w:r>
          </w:p>
        </w:tc>
      </w:tr>
    </w:tbl>
    <w:p w:rsidR="00F24D87" w:rsidRPr="00825C08" w:rsidRDefault="00F24D87" w:rsidP="00F24D87">
      <w:pPr>
        <w:pStyle w:val="Listecouleur-Accent1"/>
        <w:widowControl/>
        <w:rPr>
          <w:rFonts w:ascii="Calibri" w:hAnsi="Calibri" w:cs="Times New Roman"/>
          <w:sz w:val="22"/>
          <w:szCs w:val="22"/>
        </w:rPr>
      </w:pPr>
    </w:p>
    <w:p w:rsidR="00F24D87" w:rsidRPr="00825C08" w:rsidRDefault="00F24D87" w:rsidP="00F24D87">
      <w:pPr>
        <w:pStyle w:val="Listecouleur-Accent1"/>
        <w:widowControl/>
        <w:numPr>
          <w:ilvl w:val="0"/>
          <w:numId w:val="4"/>
        </w:numPr>
        <w:rPr>
          <w:rFonts w:ascii="Calibri" w:hAnsi="Calibri" w:cs="Times New Roman"/>
          <w:sz w:val="22"/>
          <w:szCs w:val="22"/>
        </w:rPr>
      </w:pPr>
      <w:r w:rsidRPr="00825C08">
        <w:rPr>
          <w:rFonts w:ascii="Calibri" w:hAnsi="Calibri" w:cs="Times New Roman"/>
          <w:sz w:val="22"/>
          <w:szCs w:val="22"/>
        </w:rPr>
        <w:t>Les stocks initiaux s’élevaient à 5 au début de l’année 2015. A combien s’élèvent les stocks finaux à la fin de l’année 2015 ?</w:t>
      </w:r>
    </w:p>
    <w:p w:rsidR="00F24D87" w:rsidRPr="00825C08" w:rsidRDefault="00F24D87" w:rsidP="00F24D87">
      <w:pPr>
        <w:pStyle w:val="Listecouleur-Accent1"/>
        <w:widowControl/>
        <w:numPr>
          <w:ilvl w:val="0"/>
          <w:numId w:val="4"/>
        </w:numPr>
        <w:rPr>
          <w:rFonts w:ascii="Calibri" w:hAnsi="Calibri" w:cs="Times New Roman"/>
          <w:sz w:val="22"/>
          <w:szCs w:val="22"/>
        </w:rPr>
      </w:pPr>
      <w:r w:rsidRPr="00825C08">
        <w:rPr>
          <w:rFonts w:ascii="Calibri" w:hAnsi="Calibri" w:cs="Times New Roman"/>
          <w:sz w:val="22"/>
          <w:szCs w:val="22"/>
        </w:rPr>
        <w:t>Parmi toutes ces informations, lesquelles correspondent aux différents emplois ? Aux différentes ressources ?</w:t>
      </w:r>
    </w:p>
    <w:p w:rsidR="00F24D87" w:rsidRPr="00825C08" w:rsidRDefault="00F24D87" w:rsidP="00F24D87">
      <w:pPr>
        <w:pStyle w:val="Listecouleur-Accent1"/>
        <w:widowControl/>
        <w:numPr>
          <w:ilvl w:val="0"/>
          <w:numId w:val="4"/>
        </w:numPr>
        <w:rPr>
          <w:rFonts w:ascii="Calibri" w:hAnsi="Calibri" w:cs="Times New Roman"/>
          <w:sz w:val="22"/>
          <w:szCs w:val="22"/>
        </w:rPr>
      </w:pPr>
      <w:r w:rsidRPr="00825C08">
        <w:rPr>
          <w:rFonts w:ascii="Calibri" w:hAnsi="Calibri" w:cs="Times New Roman"/>
          <w:sz w:val="22"/>
          <w:szCs w:val="22"/>
        </w:rPr>
        <w:t>Vérifiez qu’il y a bien une égalité entre emplois et ressources.</w:t>
      </w:r>
    </w:p>
    <w:p w:rsidR="00F24D87" w:rsidRPr="00825C08" w:rsidRDefault="00F24D87" w:rsidP="00F24D87">
      <w:pPr>
        <w:pStyle w:val="Listecouleur-Accent1"/>
        <w:widowControl/>
        <w:numPr>
          <w:ilvl w:val="0"/>
          <w:numId w:val="4"/>
        </w:numPr>
        <w:rPr>
          <w:rFonts w:ascii="Calibri" w:hAnsi="Calibri" w:cs="Times New Roman"/>
          <w:sz w:val="22"/>
          <w:szCs w:val="22"/>
        </w:rPr>
      </w:pPr>
      <w:r w:rsidRPr="00825C08">
        <w:rPr>
          <w:rFonts w:ascii="Calibri" w:hAnsi="Calibri" w:cs="Times New Roman"/>
          <w:sz w:val="22"/>
          <w:szCs w:val="22"/>
        </w:rPr>
        <w:t>Présentez une équation sous la forme « PIB = … » en reprenant les montants du tableau. Vérifiez l’égalité.</w:t>
      </w:r>
    </w:p>
    <w:p w:rsidR="00F24D87" w:rsidRPr="00825C08" w:rsidRDefault="00F24D87" w:rsidP="00F24D87">
      <w:pPr>
        <w:pStyle w:val="Listecouleur-Accent1"/>
        <w:widowControl/>
        <w:rPr>
          <w:rFonts w:ascii="Calibri" w:hAnsi="Calibri" w:cs="Times New Roman"/>
          <w:sz w:val="22"/>
          <w:szCs w:val="22"/>
        </w:rPr>
      </w:pPr>
    </w:p>
    <w:p w:rsidR="00F24D87" w:rsidRPr="00825C08" w:rsidRDefault="00F24D87" w:rsidP="00F24D87">
      <w:pPr>
        <w:rPr>
          <w:sz w:val="22"/>
        </w:rPr>
      </w:pPr>
      <w:r w:rsidRPr="00825C08">
        <w:rPr>
          <w:sz w:val="22"/>
        </w:rPr>
        <w:t xml:space="preserve">A la fin de l’année 2014, le premier ministre </w:t>
      </w:r>
      <w:r w:rsidR="00F41736">
        <w:rPr>
          <w:sz w:val="22"/>
        </w:rPr>
        <w:t>d’Inversland</w:t>
      </w:r>
      <w:r w:rsidRPr="00825C08">
        <w:rPr>
          <w:sz w:val="22"/>
        </w:rPr>
        <w:t xml:space="preserve"> a pour objectif d’augmenter le PIB en 2015. Pour cela, il cherche à augmenter la consommation finale des ménages en leur distribuant davantage de revenus, sous la forme de prestations sociales. En augmentant les revenus des ménages de 300 milliards d’éco, il pense augmenter le PIB de 300 milliards d’éco. Voici la situation à la fin de l’année 2015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72"/>
        <w:gridCol w:w="3072"/>
      </w:tblGrid>
      <w:tr w:rsidR="00F24D87" w:rsidRPr="00F24D87" w:rsidTr="00F24D87">
        <w:trPr>
          <w:trHeight w:val="251"/>
          <w:jc w:val="center"/>
        </w:trPr>
        <w:tc>
          <w:tcPr>
            <w:tcW w:w="3072" w:type="dxa"/>
            <w:shd w:val="clear" w:color="auto" w:fill="auto"/>
            <w:vAlign w:val="center"/>
          </w:tcPr>
          <w:p w:rsidR="00F24D87" w:rsidRPr="00F24D87" w:rsidRDefault="00F24D87" w:rsidP="00F24D87">
            <w:pPr>
              <w:pStyle w:val="Sansinterligne"/>
              <w:rPr>
                <w:sz w:val="22"/>
              </w:rPr>
            </w:pPr>
          </w:p>
        </w:tc>
        <w:tc>
          <w:tcPr>
            <w:tcW w:w="3072" w:type="dxa"/>
            <w:shd w:val="clear" w:color="auto" w:fill="auto"/>
            <w:vAlign w:val="center"/>
          </w:tcPr>
          <w:p w:rsidR="00F24D87" w:rsidRPr="00F24D87" w:rsidRDefault="00F24D87" w:rsidP="00F24D87">
            <w:pPr>
              <w:pStyle w:val="Sansinterligne"/>
              <w:jc w:val="center"/>
              <w:rPr>
                <w:b/>
                <w:sz w:val="22"/>
              </w:rPr>
            </w:pPr>
            <w:r w:rsidRPr="00F24D87">
              <w:rPr>
                <w:b/>
                <w:sz w:val="22"/>
              </w:rPr>
              <w:t>Montant en 2015 (en milliards d’éco)</w:t>
            </w:r>
          </w:p>
        </w:tc>
      </w:tr>
      <w:tr w:rsidR="00F24D87" w:rsidRPr="00F24D87" w:rsidTr="00F24D87">
        <w:trPr>
          <w:trHeight w:val="251"/>
          <w:jc w:val="center"/>
        </w:trPr>
        <w:tc>
          <w:tcPr>
            <w:tcW w:w="3072" w:type="dxa"/>
            <w:shd w:val="clear" w:color="auto" w:fill="auto"/>
            <w:vAlign w:val="center"/>
          </w:tcPr>
          <w:p w:rsidR="00F24D87" w:rsidRPr="00F24D87" w:rsidRDefault="00F24D87" w:rsidP="00F24D87">
            <w:pPr>
              <w:pStyle w:val="Sansinterligne"/>
              <w:rPr>
                <w:sz w:val="22"/>
              </w:rPr>
            </w:pPr>
            <w:r w:rsidRPr="00F24D87">
              <w:rPr>
                <w:sz w:val="22"/>
              </w:rPr>
              <w:t>PIB</w:t>
            </w:r>
          </w:p>
        </w:tc>
        <w:tc>
          <w:tcPr>
            <w:tcW w:w="3072" w:type="dxa"/>
            <w:shd w:val="clear" w:color="auto" w:fill="auto"/>
            <w:vAlign w:val="center"/>
          </w:tcPr>
          <w:p w:rsidR="00F24D87" w:rsidRPr="00F24D87" w:rsidRDefault="00F24D87" w:rsidP="00F24D87">
            <w:pPr>
              <w:pStyle w:val="Sansinterligne"/>
              <w:jc w:val="center"/>
              <w:rPr>
                <w:sz w:val="22"/>
              </w:rPr>
            </w:pPr>
            <w:r w:rsidRPr="00F24D87">
              <w:rPr>
                <w:sz w:val="22"/>
              </w:rPr>
              <w:t>1150</w:t>
            </w:r>
          </w:p>
        </w:tc>
      </w:tr>
      <w:tr w:rsidR="00F24D87" w:rsidRPr="00F24D87" w:rsidTr="00F24D87">
        <w:trPr>
          <w:trHeight w:val="276"/>
          <w:jc w:val="center"/>
        </w:trPr>
        <w:tc>
          <w:tcPr>
            <w:tcW w:w="3072" w:type="dxa"/>
            <w:shd w:val="clear" w:color="auto" w:fill="auto"/>
            <w:vAlign w:val="center"/>
          </w:tcPr>
          <w:p w:rsidR="00F24D87" w:rsidRPr="00F24D87" w:rsidRDefault="00F24D87" w:rsidP="00F24D87">
            <w:pPr>
              <w:pStyle w:val="Sansinterligne"/>
              <w:rPr>
                <w:sz w:val="22"/>
              </w:rPr>
            </w:pPr>
            <w:r w:rsidRPr="00F24D87">
              <w:rPr>
                <w:sz w:val="22"/>
              </w:rPr>
              <w:t>Production nationale (VA)</w:t>
            </w:r>
          </w:p>
        </w:tc>
        <w:tc>
          <w:tcPr>
            <w:tcW w:w="3072" w:type="dxa"/>
            <w:shd w:val="clear" w:color="auto" w:fill="auto"/>
            <w:vAlign w:val="center"/>
          </w:tcPr>
          <w:p w:rsidR="00F24D87" w:rsidRPr="00F24D87" w:rsidRDefault="00F24D87" w:rsidP="00F24D87">
            <w:pPr>
              <w:pStyle w:val="Sansinterligne"/>
              <w:jc w:val="center"/>
              <w:rPr>
                <w:sz w:val="22"/>
              </w:rPr>
            </w:pPr>
            <w:r w:rsidRPr="00F24D87">
              <w:rPr>
                <w:sz w:val="22"/>
              </w:rPr>
              <w:t>1800</w:t>
            </w:r>
          </w:p>
        </w:tc>
      </w:tr>
      <w:tr w:rsidR="00F24D87" w:rsidRPr="00F24D87" w:rsidTr="00F24D87">
        <w:trPr>
          <w:trHeight w:val="276"/>
          <w:jc w:val="center"/>
        </w:trPr>
        <w:tc>
          <w:tcPr>
            <w:tcW w:w="3072" w:type="dxa"/>
            <w:shd w:val="clear" w:color="auto" w:fill="auto"/>
            <w:vAlign w:val="center"/>
          </w:tcPr>
          <w:p w:rsidR="00F24D87" w:rsidRPr="00F24D87" w:rsidRDefault="00F24D87" w:rsidP="00F24D87">
            <w:pPr>
              <w:pStyle w:val="Sansinterligne"/>
              <w:rPr>
                <w:sz w:val="22"/>
              </w:rPr>
            </w:pPr>
            <w:r w:rsidRPr="00F24D87">
              <w:rPr>
                <w:sz w:val="22"/>
              </w:rPr>
              <w:t>Consommation finale</w:t>
            </w:r>
          </w:p>
        </w:tc>
        <w:tc>
          <w:tcPr>
            <w:tcW w:w="3072" w:type="dxa"/>
            <w:shd w:val="clear" w:color="auto" w:fill="auto"/>
            <w:vAlign w:val="center"/>
          </w:tcPr>
          <w:p w:rsidR="00F24D87" w:rsidRPr="00F24D87" w:rsidRDefault="00F24D87" w:rsidP="00F24D87">
            <w:pPr>
              <w:pStyle w:val="Sansinterligne"/>
              <w:jc w:val="center"/>
              <w:rPr>
                <w:sz w:val="22"/>
              </w:rPr>
            </w:pPr>
            <w:r w:rsidRPr="00F24D87">
              <w:rPr>
                <w:sz w:val="22"/>
              </w:rPr>
              <w:t>1100</w:t>
            </w:r>
          </w:p>
        </w:tc>
      </w:tr>
      <w:tr w:rsidR="00F24D87" w:rsidRPr="00F24D87" w:rsidTr="00F24D87">
        <w:trPr>
          <w:trHeight w:val="276"/>
          <w:jc w:val="center"/>
        </w:trPr>
        <w:tc>
          <w:tcPr>
            <w:tcW w:w="3072" w:type="dxa"/>
            <w:shd w:val="clear" w:color="auto" w:fill="auto"/>
            <w:vAlign w:val="center"/>
          </w:tcPr>
          <w:p w:rsidR="00F24D87" w:rsidRPr="00F24D87" w:rsidRDefault="00F24D87" w:rsidP="00F24D87">
            <w:pPr>
              <w:pStyle w:val="Sansinterligne"/>
              <w:rPr>
                <w:sz w:val="22"/>
              </w:rPr>
            </w:pPr>
            <w:r w:rsidRPr="00F24D87">
              <w:rPr>
                <w:sz w:val="22"/>
              </w:rPr>
              <w:t>Consommations intermédiaires</w:t>
            </w:r>
          </w:p>
        </w:tc>
        <w:tc>
          <w:tcPr>
            <w:tcW w:w="3072" w:type="dxa"/>
            <w:shd w:val="clear" w:color="auto" w:fill="auto"/>
            <w:vAlign w:val="center"/>
          </w:tcPr>
          <w:p w:rsidR="00F24D87" w:rsidRPr="00F24D87" w:rsidRDefault="00F24D87" w:rsidP="00F24D87">
            <w:pPr>
              <w:pStyle w:val="Sansinterligne"/>
              <w:jc w:val="center"/>
              <w:rPr>
                <w:sz w:val="22"/>
              </w:rPr>
            </w:pPr>
            <w:r w:rsidRPr="00F24D87">
              <w:rPr>
                <w:sz w:val="22"/>
              </w:rPr>
              <w:t>700</w:t>
            </w:r>
          </w:p>
        </w:tc>
      </w:tr>
      <w:tr w:rsidR="00F24D87" w:rsidRPr="00F24D87" w:rsidTr="00F24D87">
        <w:trPr>
          <w:trHeight w:val="251"/>
          <w:jc w:val="center"/>
        </w:trPr>
        <w:tc>
          <w:tcPr>
            <w:tcW w:w="3072" w:type="dxa"/>
            <w:shd w:val="clear" w:color="auto" w:fill="auto"/>
            <w:vAlign w:val="center"/>
          </w:tcPr>
          <w:p w:rsidR="00F24D87" w:rsidRPr="00F24D87" w:rsidRDefault="00F24D87" w:rsidP="00F24D87">
            <w:pPr>
              <w:pStyle w:val="Sansinterligne"/>
              <w:rPr>
                <w:sz w:val="22"/>
              </w:rPr>
            </w:pPr>
            <w:r w:rsidRPr="00F24D87">
              <w:rPr>
                <w:sz w:val="22"/>
              </w:rPr>
              <w:t>FBCF</w:t>
            </w:r>
          </w:p>
        </w:tc>
        <w:tc>
          <w:tcPr>
            <w:tcW w:w="3072" w:type="dxa"/>
            <w:shd w:val="clear" w:color="auto" w:fill="auto"/>
            <w:vAlign w:val="center"/>
          </w:tcPr>
          <w:p w:rsidR="00F24D87" w:rsidRPr="00F24D87" w:rsidRDefault="00F24D87" w:rsidP="00F24D87">
            <w:pPr>
              <w:pStyle w:val="Sansinterligne"/>
              <w:jc w:val="center"/>
              <w:rPr>
                <w:sz w:val="22"/>
              </w:rPr>
            </w:pPr>
            <w:r w:rsidRPr="00F24D87">
              <w:rPr>
                <w:sz w:val="22"/>
              </w:rPr>
              <w:t>250</w:t>
            </w:r>
          </w:p>
        </w:tc>
      </w:tr>
      <w:tr w:rsidR="00F24D87" w:rsidRPr="00F24D87" w:rsidTr="00F24D87">
        <w:trPr>
          <w:trHeight w:val="251"/>
          <w:jc w:val="center"/>
        </w:trPr>
        <w:tc>
          <w:tcPr>
            <w:tcW w:w="3072" w:type="dxa"/>
            <w:shd w:val="clear" w:color="auto" w:fill="auto"/>
            <w:vAlign w:val="center"/>
          </w:tcPr>
          <w:p w:rsidR="00F24D87" w:rsidRPr="00F24D87" w:rsidRDefault="00F24D87" w:rsidP="00F24D87">
            <w:pPr>
              <w:pStyle w:val="Sansinterligne"/>
              <w:rPr>
                <w:sz w:val="22"/>
              </w:rPr>
            </w:pPr>
            <w:r w:rsidRPr="00F24D87">
              <w:rPr>
                <w:sz w:val="22"/>
              </w:rPr>
              <w:t>Importations</w:t>
            </w:r>
          </w:p>
        </w:tc>
        <w:tc>
          <w:tcPr>
            <w:tcW w:w="3072" w:type="dxa"/>
            <w:shd w:val="clear" w:color="auto" w:fill="auto"/>
            <w:vAlign w:val="center"/>
          </w:tcPr>
          <w:p w:rsidR="00F24D87" w:rsidRPr="00F24D87" w:rsidRDefault="00F24D87" w:rsidP="00F24D87">
            <w:pPr>
              <w:pStyle w:val="Sansinterligne"/>
              <w:jc w:val="center"/>
              <w:rPr>
                <w:sz w:val="22"/>
              </w:rPr>
            </w:pPr>
            <w:r w:rsidRPr="00F24D87">
              <w:rPr>
                <w:sz w:val="22"/>
              </w:rPr>
              <w:t>510</w:t>
            </w:r>
          </w:p>
        </w:tc>
      </w:tr>
      <w:tr w:rsidR="00F24D87" w:rsidRPr="00F24D87" w:rsidTr="00F24D87">
        <w:trPr>
          <w:trHeight w:val="251"/>
          <w:jc w:val="center"/>
        </w:trPr>
        <w:tc>
          <w:tcPr>
            <w:tcW w:w="3072" w:type="dxa"/>
            <w:shd w:val="clear" w:color="auto" w:fill="auto"/>
            <w:vAlign w:val="center"/>
          </w:tcPr>
          <w:p w:rsidR="00F24D87" w:rsidRPr="00F24D87" w:rsidRDefault="00F24D87" w:rsidP="00F24D87">
            <w:pPr>
              <w:pStyle w:val="Sansinterligne"/>
              <w:rPr>
                <w:sz w:val="22"/>
              </w:rPr>
            </w:pPr>
            <w:r w:rsidRPr="00F24D87">
              <w:rPr>
                <w:sz w:val="22"/>
              </w:rPr>
              <w:t>Exportations</w:t>
            </w:r>
          </w:p>
        </w:tc>
        <w:tc>
          <w:tcPr>
            <w:tcW w:w="3072" w:type="dxa"/>
            <w:shd w:val="clear" w:color="auto" w:fill="auto"/>
            <w:vAlign w:val="center"/>
          </w:tcPr>
          <w:p w:rsidR="00F24D87" w:rsidRPr="00F24D87" w:rsidRDefault="00F24D87" w:rsidP="00F24D87">
            <w:pPr>
              <w:pStyle w:val="Sansinterligne"/>
              <w:jc w:val="center"/>
              <w:rPr>
                <w:sz w:val="22"/>
              </w:rPr>
            </w:pPr>
            <w:r w:rsidRPr="00F24D87">
              <w:rPr>
                <w:sz w:val="22"/>
              </w:rPr>
              <w:t>320</w:t>
            </w:r>
          </w:p>
        </w:tc>
      </w:tr>
      <w:tr w:rsidR="00F24D87" w:rsidRPr="00F24D87" w:rsidTr="00F24D87">
        <w:trPr>
          <w:trHeight w:val="276"/>
          <w:jc w:val="center"/>
        </w:trPr>
        <w:tc>
          <w:tcPr>
            <w:tcW w:w="3072" w:type="dxa"/>
            <w:shd w:val="clear" w:color="auto" w:fill="auto"/>
            <w:vAlign w:val="center"/>
          </w:tcPr>
          <w:p w:rsidR="00F24D87" w:rsidRPr="00F24D87" w:rsidRDefault="00F24D87" w:rsidP="00F24D87">
            <w:pPr>
              <w:pStyle w:val="Sansinterligne"/>
              <w:rPr>
                <w:sz w:val="22"/>
              </w:rPr>
            </w:pPr>
            <w:r w:rsidRPr="00F24D87">
              <w:rPr>
                <w:sz w:val="22"/>
              </w:rPr>
              <w:t>Variation des stocks</w:t>
            </w:r>
          </w:p>
        </w:tc>
        <w:tc>
          <w:tcPr>
            <w:tcW w:w="3072" w:type="dxa"/>
            <w:shd w:val="clear" w:color="auto" w:fill="auto"/>
            <w:vAlign w:val="center"/>
          </w:tcPr>
          <w:p w:rsidR="00F24D87" w:rsidRPr="00F24D87" w:rsidRDefault="00F24D87" w:rsidP="00F24D87">
            <w:pPr>
              <w:pStyle w:val="Sansinterligne"/>
              <w:jc w:val="center"/>
              <w:rPr>
                <w:sz w:val="22"/>
              </w:rPr>
            </w:pPr>
          </w:p>
        </w:tc>
      </w:tr>
    </w:tbl>
    <w:p w:rsidR="00F24D87" w:rsidRPr="00F24D87" w:rsidRDefault="00F24D87" w:rsidP="00F24D87">
      <w:pPr>
        <w:pStyle w:val="Sansinterligne"/>
        <w:rPr>
          <w:sz w:val="22"/>
        </w:rPr>
      </w:pPr>
    </w:p>
    <w:p w:rsidR="00F24D87" w:rsidRPr="00825C08" w:rsidRDefault="00F24D87" w:rsidP="00F24D87">
      <w:pPr>
        <w:pStyle w:val="Listecouleur-Accent1"/>
        <w:widowControl/>
        <w:numPr>
          <w:ilvl w:val="0"/>
          <w:numId w:val="4"/>
        </w:numPr>
        <w:rPr>
          <w:rFonts w:ascii="Calibri" w:hAnsi="Calibri" w:cs="Times New Roman"/>
          <w:sz w:val="22"/>
          <w:szCs w:val="22"/>
        </w:rPr>
      </w:pPr>
      <w:r w:rsidRPr="00825C08">
        <w:rPr>
          <w:rFonts w:ascii="Calibri" w:hAnsi="Calibri" w:cs="Times New Roman"/>
          <w:sz w:val="22"/>
          <w:szCs w:val="22"/>
        </w:rPr>
        <w:t>Calculez l’évolution en pourcentage du PIB entre 2014 et 2015.</w:t>
      </w:r>
    </w:p>
    <w:p w:rsidR="00F24D87" w:rsidRPr="00825C08" w:rsidRDefault="00F24D87" w:rsidP="00F24D87">
      <w:pPr>
        <w:pStyle w:val="Listecouleur-Accent1"/>
        <w:widowControl/>
        <w:numPr>
          <w:ilvl w:val="0"/>
          <w:numId w:val="4"/>
        </w:numPr>
        <w:rPr>
          <w:rFonts w:ascii="Calibri" w:hAnsi="Calibri" w:cs="Times New Roman"/>
          <w:sz w:val="22"/>
          <w:szCs w:val="22"/>
        </w:rPr>
      </w:pPr>
      <w:r w:rsidRPr="00825C08">
        <w:rPr>
          <w:rFonts w:ascii="Calibri" w:hAnsi="Calibri" w:cs="Times New Roman"/>
          <w:sz w:val="22"/>
          <w:szCs w:val="22"/>
        </w:rPr>
        <w:t>Calculez la variation des stocks de l’année 2015.</w:t>
      </w:r>
    </w:p>
    <w:p w:rsidR="00F24D87" w:rsidRPr="00825C08" w:rsidRDefault="00F24D87" w:rsidP="00F24D87">
      <w:pPr>
        <w:pStyle w:val="Listecouleur-Accent1"/>
        <w:widowControl/>
        <w:numPr>
          <w:ilvl w:val="0"/>
          <w:numId w:val="4"/>
        </w:numPr>
        <w:rPr>
          <w:rFonts w:ascii="Calibri" w:hAnsi="Calibri" w:cs="Times New Roman"/>
          <w:sz w:val="22"/>
          <w:szCs w:val="22"/>
        </w:rPr>
      </w:pPr>
      <w:r w:rsidRPr="00825C08">
        <w:rPr>
          <w:rFonts w:ascii="Calibri" w:hAnsi="Calibri" w:cs="Times New Roman"/>
          <w:sz w:val="22"/>
          <w:szCs w:val="22"/>
        </w:rPr>
        <w:t>La stratégie du premier ministre a-t-elle fonctionné ? Pourquoi ?</w:t>
      </w:r>
    </w:p>
    <w:p w:rsidR="00997F5E" w:rsidRPr="00825C08" w:rsidRDefault="00997F5E" w:rsidP="00F24D87">
      <w:pPr>
        <w:pStyle w:val="Standard"/>
        <w:ind w:firstLine="0"/>
        <w:rPr>
          <w:rFonts w:ascii="Calibri" w:hAnsi="Calibri"/>
          <w:sz w:val="22"/>
          <w:szCs w:val="22"/>
        </w:rPr>
      </w:pPr>
    </w:p>
    <w:p w:rsidR="00F24D87" w:rsidRPr="00F24D87" w:rsidRDefault="00F24D87" w:rsidP="00F24D87">
      <w:pPr>
        <w:pBdr>
          <w:bottom w:val="single" w:sz="4" w:space="1" w:color="auto"/>
        </w:pBdr>
        <w:rPr>
          <w:b/>
          <w:sz w:val="28"/>
          <w:szCs w:val="28"/>
        </w:rPr>
      </w:pPr>
      <w:r>
        <w:rPr>
          <w:b/>
          <w:sz w:val="28"/>
          <w:szCs w:val="28"/>
        </w:rPr>
        <w:t>Synthèse : « Quels sont les grands équilibres macroéconomiques ? »</w:t>
      </w:r>
    </w:p>
    <w:p w:rsidR="00F24D87" w:rsidRPr="00F24D87" w:rsidRDefault="00F24D87" w:rsidP="00D72211">
      <w:pPr>
        <w:rPr>
          <w:rFonts w:hAnsi="Times New Roman"/>
          <w:sz w:val="22"/>
        </w:rPr>
      </w:pPr>
      <w:r w:rsidRPr="00F24D87">
        <w:rPr>
          <w:rFonts w:hAnsi="Times New Roman"/>
          <w:sz w:val="22"/>
        </w:rPr>
        <w:t>Faites un sch</w:t>
      </w:r>
      <w:r w:rsidRPr="00F24D87">
        <w:rPr>
          <w:rFonts w:hAnsi="Times New Roman"/>
          <w:sz w:val="22"/>
        </w:rPr>
        <w:t>é</w:t>
      </w:r>
      <w:r w:rsidRPr="00F24D87">
        <w:rPr>
          <w:rFonts w:hAnsi="Times New Roman"/>
          <w:sz w:val="22"/>
        </w:rPr>
        <w:t>ma r</w:t>
      </w:r>
      <w:r w:rsidRPr="00F24D87">
        <w:rPr>
          <w:rFonts w:hAnsi="Times New Roman"/>
          <w:sz w:val="22"/>
        </w:rPr>
        <w:t>é</w:t>
      </w:r>
      <w:r w:rsidRPr="00F24D87">
        <w:rPr>
          <w:rFonts w:hAnsi="Times New Roman"/>
          <w:sz w:val="22"/>
        </w:rPr>
        <w:t>capitulatif pr</w:t>
      </w:r>
      <w:r w:rsidRPr="00F24D87">
        <w:rPr>
          <w:rFonts w:hAnsi="Times New Roman"/>
          <w:sz w:val="22"/>
        </w:rPr>
        <w:t>é</w:t>
      </w:r>
      <w:r w:rsidRPr="00F24D87">
        <w:rPr>
          <w:rFonts w:hAnsi="Times New Roman"/>
          <w:sz w:val="22"/>
        </w:rPr>
        <w:t>sentant l</w:t>
      </w:r>
      <w:r w:rsidRPr="00F24D87">
        <w:rPr>
          <w:rFonts w:hAnsi="Times New Roman"/>
          <w:sz w:val="22"/>
        </w:rPr>
        <w:t>’é</w:t>
      </w:r>
      <w:r w:rsidRPr="00F24D87">
        <w:rPr>
          <w:rFonts w:hAnsi="Times New Roman"/>
          <w:sz w:val="22"/>
        </w:rPr>
        <w:t>quilibre emplois = ressources.</w:t>
      </w:r>
    </w:p>
    <w:p w:rsidR="00F24D87" w:rsidRPr="00825C08" w:rsidRDefault="00F24D87" w:rsidP="00F24D87">
      <w:pPr>
        <w:pStyle w:val="Standard"/>
        <w:ind w:firstLine="0"/>
        <w:rPr>
          <w:rFonts w:ascii="Calibri" w:hAnsi="Calibri"/>
          <w:sz w:val="22"/>
          <w:szCs w:val="22"/>
        </w:rPr>
      </w:pPr>
    </w:p>
    <w:sectPr w:rsidR="00F24D87" w:rsidRPr="00825C08" w:rsidSect="00E4435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RW Gothic L">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D565C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310F09"/>
    <w:multiLevelType w:val="hybridMultilevel"/>
    <w:tmpl w:val="65223B14"/>
    <w:lvl w:ilvl="0" w:tplc="8E98FA0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7893A59"/>
    <w:multiLevelType w:val="hybridMultilevel"/>
    <w:tmpl w:val="6E369202"/>
    <w:lvl w:ilvl="0" w:tplc="CA5A880A">
      <w:start w:val="3"/>
      <w:numFmt w:val="bullet"/>
      <w:lvlText w:val="-"/>
      <w:lvlJc w:val="left"/>
      <w:pPr>
        <w:ind w:left="1080" w:hanging="360"/>
      </w:pPr>
      <w:rPr>
        <w:rFonts w:ascii="Calibri" w:eastAsia="Times New Roman" w:hAnsi="Calibri"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6AD41E71"/>
    <w:multiLevelType w:val="hybridMultilevel"/>
    <w:tmpl w:val="0CA6B23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hyphenationZone w:val="425"/>
  <w:drawingGridHorizontalSpacing w:val="110"/>
  <w:displayHorizontalDrawingGridEvery w:val="2"/>
  <w:characterSpacingControl w:val="doNotCompress"/>
  <w:compat/>
  <w:rsids>
    <w:rsidRoot w:val="00E44358"/>
    <w:rsid w:val="00093990"/>
    <w:rsid w:val="00097797"/>
    <w:rsid w:val="00183D54"/>
    <w:rsid w:val="001B33DE"/>
    <w:rsid w:val="00206523"/>
    <w:rsid w:val="00371E84"/>
    <w:rsid w:val="003A766F"/>
    <w:rsid w:val="00437E37"/>
    <w:rsid w:val="00546BB8"/>
    <w:rsid w:val="00607AF9"/>
    <w:rsid w:val="00633DD6"/>
    <w:rsid w:val="0076116B"/>
    <w:rsid w:val="00775025"/>
    <w:rsid w:val="00803F07"/>
    <w:rsid w:val="00825C08"/>
    <w:rsid w:val="00854E01"/>
    <w:rsid w:val="00861949"/>
    <w:rsid w:val="00870FA5"/>
    <w:rsid w:val="009368EF"/>
    <w:rsid w:val="00997F5E"/>
    <w:rsid w:val="00A51424"/>
    <w:rsid w:val="00B37A1B"/>
    <w:rsid w:val="00BF651B"/>
    <w:rsid w:val="00CE5C77"/>
    <w:rsid w:val="00D72211"/>
    <w:rsid w:val="00DB5C83"/>
    <w:rsid w:val="00E07FCA"/>
    <w:rsid w:val="00E44358"/>
    <w:rsid w:val="00EA190B"/>
    <w:rsid w:val="00F24D87"/>
    <w:rsid w:val="00F4173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358"/>
    <w:pPr>
      <w:spacing w:after="200" w:line="276" w:lineRule="auto"/>
      <w:jc w:val="both"/>
    </w:pPr>
    <w:rPr>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ansinterligne">
    <w:name w:val="No Spacing"/>
    <w:uiPriority w:val="1"/>
    <w:qFormat/>
    <w:rsid w:val="00E44358"/>
    <w:pPr>
      <w:jc w:val="both"/>
    </w:pPr>
    <w:rPr>
      <w:szCs w:val="22"/>
      <w:lang w:eastAsia="en-US"/>
    </w:rPr>
  </w:style>
  <w:style w:type="paragraph" w:customStyle="1" w:styleId="Standard">
    <w:name w:val="Standard"/>
    <w:rsid w:val="00546BB8"/>
    <w:pPr>
      <w:suppressAutoHyphens/>
      <w:autoSpaceDN w:val="0"/>
      <w:ind w:firstLine="283"/>
      <w:jc w:val="both"/>
      <w:textAlignment w:val="baseline"/>
    </w:pPr>
    <w:rPr>
      <w:rFonts w:ascii="URW Gothic L" w:eastAsia="Times New Roman" w:hAnsi="URW Gothic L"/>
      <w:kern w:val="3"/>
      <w:sz w:val="24"/>
      <w:szCs w:val="24"/>
    </w:rPr>
  </w:style>
  <w:style w:type="paragraph" w:styleId="Listecouleur-Accent1">
    <w:name w:val="Colorful List Accent 1"/>
    <w:rsid w:val="00F24D87"/>
    <w:pPr>
      <w:widowControl w:val="0"/>
      <w:pBdr>
        <w:top w:val="nil"/>
        <w:left w:val="nil"/>
        <w:bottom w:val="nil"/>
        <w:right w:val="nil"/>
        <w:between w:val="nil"/>
        <w:bar w:val="nil"/>
      </w:pBdr>
      <w:ind w:left="720"/>
      <w:jc w:val="both"/>
    </w:pPr>
    <w:rPr>
      <w:rFonts w:ascii="Times New Roman" w:eastAsia="Arial Unicode MS" w:hAnsi="Arial Unicode MS" w:cs="Arial Unicode MS"/>
      <w:color w:val="000000"/>
      <w:sz w:val="24"/>
      <w:szCs w:val="24"/>
      <w:u w:color="000000"/>
      <w:bdr w:val="nil"/>
    </w:rPr>
  </w:style>
  <w:style w:type="table" w:styleId="Grilledutableau">
    <w:name w:val="Table Grid"/>
    <w:basedOn w:val="TableauNormal"/>
    <w:uiPriority w:val="59"/>
    <w:rsid w:val="00F24D87"/>
    <w:pPr>
      <w:pBdr>
        <w:top w:val="nil"/>
        <w:left w:val="nil"/>
        <w:bottom w:val="nil"/>
        <w:right w:val="nil"/>
        <w:between w:val="nil"/>
        <w:bar w:val="nil"/>
      </w:pBdr>
    </w:pPr>
    <w:rPr>
      <w:rFonts w:ascii="Times New Roman" w:eastAsia="Arial Unicode MS" w:hAnsi="Times New Roman"/>
      <w:bdr w:val="ni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1491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BRUNO</cp:lastModifiedBy>
  <cp:revision>2</cp:revision>
  <cp:lastPrinted>2014-08-29T08:34:00Z</cp:lastPrinted>
  <dcterms:created xsi:type="dcterms:W3CDTF">2015-07-03T07:31:00Z</dcterms:created>
  <dcterms:modified xsi:type="dcterms:W3CDTF">2015-07-03T07:31:00Z</dcterms:modified>
</cp:coreProperties>
</file>