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E7" w:rsidRPr="00ED2D84" w:rsidRDefault="007144E7" w:rsidP="00CA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ED2D84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 xml:space="preserve">Question 1 : </w:t>
      </w:r>
      <w:r w:rsidR="004018B9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Comment l’Etat-p</w:t>
      </w:r>
      <w:bookmarkStart w:id="0" w:name="_GoBack"/>
      <w:bookmarkEnd w:id="0"/>
      <w:r w:rsidR="000715E7" w:rsidRPr="00ED2D84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rovidence contribue-t-il à la cohésion sociale ?</w:t>
      </w:r>
    </w:p>
    <w:p w:rsidR="00B86115" w:rsidRPr="00ED2D84" w:rsidRDefault="007144E7" w:rsidP="00B86115">
      <w:pPr>
        <w:pBdr>
          <w:bottom w:val="sing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D2D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Etape 1 : Introduction (10’)</w:t>
      </w:r>
    </w:p>
    <w:p w:rsidR="00B86115" w:rsidRPr="00ED2D84" w:rsidRDefault="00B86115" w:rsidP="00714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" w:lineRule="auto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900085" w:rsidRPr="00ED2D84" w:rsidRDefault="00900085" w:rsidP="00714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" w:lineRule="auto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900085" w:rsidRPr="00ED2D84" w:rsidRDefault="00900085" w:rsidP="00714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" w:lineRule="auto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900085" w:rsidRPr="00ED2D84" w:rsidRDefault="00900085" w:rsidP="00714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" w:lineRule="auto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900085" w:rsidRPr="00ED2D84" w:rsidRDefault="00900085" w:rsidP="00714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" w:lineRule="auto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ED2D84" w:rsidRPr="00ED2D84" w:rsidRDefault="00ED2D84" w:rsidP="00ED2D84">
      <w:pPr>
        <w:ind w:left="75" w:right="75"/>
        <w:jc w:val="center"/>
        <w:rPr>
          <w:rFonts w:ascii="Times New Roman" w:hAnsi="Times New Roman" w:cs="Times New Roman"/>
          <w:b/>
          <w:bCs/>
        </w:rPr>
      </w:pPr>
      <w:r w:rsidRPr="00ED2D84">
        <w:rPr>
          <w:rFonts w:ascii="Times New Roman" w:hAnsi="Times New Roman" w:cs="Times New Roman"/>
          <w:b/>
          <w:bCs/>
        </w:rPr>
        <w:t>RSA contre bénévolat</w:t>
      </w:r>
    </w:p>
    <w:p w:rsidR="008C21F5" w:rsidRPr="00ED2D84" w:rsidRDefault="00BB2360" w:rsidP="003B4718">
      <w:pPr>
        <w:ind w:left="75" w:right="75"/>
        <w:jc w:val="center"/>
        <w:rPr>
          <w:rFonts w:ascii="Times New Roman" w:hAnsi="Times New Roman" w:cs="Times New Roman"/>
          <w:bCs/>
        </w:rPr>
      </w:pPr>
      <w:hyperlink r:id="rId5" w:history="1">
        <w:r w:rsidR="006122DA" w:rsidRPr="00ED2D84">
          <w:rPr>
            <w:rStyle w:val="Lienhypertexte"/>
            <w:rFonts w:ascii="Times New Roman" w:hAnsi="Times New Roman" w:cs="Times New Roman"/>
            <w:bCs/>
          </w:rPr>
          <w:t>http://ses.webclass.fr/hQt/jt/rsa-contre-benevolat-impossible-mettre-en-place-pour-marisol-touraine</w:t>
        </w:r>
      </w:hyperlink>
    </w:p>
    <w:p w:rsidR="00900085" w:rsidRPr="00ED2D84" w:rsidRDefault="00900085" w:rsidP="006122DA">
      <w:pPr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085" w:rsidRPr="00ED2D84" w:rsidRDefault="000715E7" w:rsidP="0090008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Etape 2 : Bilan de la vidéo </w:t>
      </w:r>
      <w:r w:rsidR="00900085"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(10’)</w:t>
      </w:r>
    </w:p>
    <w:p w:rsidR="007A5C7C" w:rsidRPr="007A5C7C" w:rsidRDefault="007A5C7C" w:rsidP="007A5C7C">
      <w:pPr>
        <w:pStyle w:val="Sansinterligne"/>
        <w:rPr>
          <w:rFonts w:ascii="Times New Roman" w:hAnsi="Times New Roman"/>
          <w:sz w:val="24"/>
        </w:rPr>
      </w:pPr>
    </w:p>
    <w:p w:rsidR="007A5C7C" w:rsidRPr="007A5C7C" w:rsidRDefault="00141824" w:rsidP="007A5C7C">
      <w:pPr>
        <w:pStyle w:val="Sansinterligne"/>
        <w:rPr>
          <w:rFonts w:ascii="Times New Roman" w:hAnsi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5880100</wp:posOffset>
            </wp:positionH>
            <wp:positionV relativeFrom="margin">
              <wp:posOffset>2159000</wp:posOffset>
            </wp:positionV>
            <wp:extent cx="984250" cy="984250"/>
            <wp:effectExtent l="0" t="0" r="6350" b="6350"/>
            <wp:wrapSquare wrapText="bothSides"/>
            <wp:docPr id="4" name="Imag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C7C" w:rsidRPr="007A5C7C">
        <w:rPr>
          <w:rFonts w:ascii="Times New Roman" w:hAnsi="Times New Roman"/>
          <w:sz w:val="24"/>
        </w:rPr>
        <w:t xml:space="preserve">En groupe, vous comparerez vos réponses et complèterez éventuellement votre trace écrite puis vous complèterez la carte mentale distribuée. </w:t>
      </w:r>
      <w:r w:rsidR="007A5C7C" w:rsidRPr="007A5C7C">
        <w:rPr>
          <w:rFonts w:ascii="Times New Roman" w:hAnsi="Times New Roman"/>
          <w:sz w:val="24"/>
          <w:szCs w:val="24"/>
        </w:rPr>
        <w:t xml:space="preserve">Lien vers la vidéo : </w:t>
      </w:r>
      <w:hyperlink r:id="rId7" w:history="1">
        <w:r w:rsidRPr="00530A91">
          <w:rPr>
            <w:rStyle w:val="Lienhypertexte"/>
            <w:rFonts w:ascii="Times New Roman" w:hAnsi="Times New Roman"/>
            <w:sz w:val="24"/>
            <w:szCs w:val="24"/>
          </w:rPr>
          <w:t>http://acver.fr/3y9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E2023" w:rsidRPr="007A5C7C" w:rsidRDefault="006E2023" w:rsidP="00900085">
      <w:pPr>
        <w:pStyle w:val="Sansinterligne"/>
        <w:rPr>
          <w:rFonts w:ascii="Times New Roman" w:hAnsi="Times New Roman"/>
          <w:sz w:val="32"/>
          <w:szCs w:val="24"/>
        </w:rPr>
      </w:pPr>
    </w:p>
    <w:p w:rsidR="00ED2D84" w:rsidRPr="007A5C7C" w:rsidRDefault="00C11EA8" w:rsidP="00ED2D84">
      <w:pPr>
        <w:pStyle w:val="Paragraphedelist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color w:val="000000" w:themeColor="text1"/>
          <w:sz w:val="24"/>
        </w:rPr>
      </w:pPr>
      <w:r w:rsidRPr="007A5C7C">
        <w:rPr>
          <w:noProof/>
          <w:color w:val="000000" w:themeColor="text1"/>
          <w:sz w:val="24"/>
        </w:rPr>
        <w:t>Définissez la cohésion sociale.</w:t>
      </w:r>
    </w:p>
    <w:p w:rsidR="00ED2D84" w:rsidRPr="00ED2D84" w:rsidRDefault="00ED2D84" w:rsidP="00ED2D84">
      <w:pPr>
        <w:pStyle w:val="Paragraphedelist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color w:val="000000" w:themeColor="text1"/>
          <w:sz w:val="24"/>
        </w:rPr>
      </w:pPr>
      <w:r w:rsidRPr="00ED2D84">
        <w:rPr>
          <w:noProof/>
          <w:color w:val="000000" w:themeColor="text1"/>
          <w:sz w:val="24"/>
        </w:rPr>
        <w:t>I</w:t>
      </w:r>
      <w:r w:rsidR="00C11EA8" w:rsidRPr="00ED2D84">
        <w:rPr>
          <w:noProof/>
          <w:color w:val="000000" w:themeColor="text1"/>
          <w:sz w:val="24"/>
        </w:rPr>
        <w:t xml:space="preserve">llustrez les trois moyens dont dispose l’État pour </w:t>
      </w:r>
      <w:r w:rsidRPr="00ED2D84">
        <w:rPr>
          <w:noProof/>
          <w:color w:val="000000" w:themeColor="text1"/>
          <w:sz w:val="24"/>
        </w:rPr>
        <w:t>contribuer à la cohésion sociale</w:t>
      </w:r>
      <w:r w:rsidR="00674D22">
        <w:rPr>
          <w:noProof/>
          <w:color w:val="000000" w:themeColor="text1"/>
          <w:sz w:val="24"/>
        </w:rPr>
        <w:t>.</w:t>
      </w:r>
    </w:p>
    <w:p w:rsidR="002F5027" w:rsidRDefault="00C11EA8" w:rsidP="00900085">
      <w:pPr>
        <w:pStyle w:val="Paragraphedelist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color w:val="000000" w:themeColor="text1"/>
          <w:sz w:val="24"/>
        </w:rPr>
      </w:pPr>
      <w:r w:rsidRPr="00ED2D84">
        <w:rPr>
          <w:noProof/>
          <w:color w:val="000000" w:themeColor="text1"/>
          <w:sz w:val="24"/>
        </w:rPr>
        <w:t>Distinguez les notions de disqualification sociale et de désaffiliation.</w:t>
      </w:r>
    </w:p>
    <w:p w:rsidR="00141824" w:rsidRPr="00141824" w:rsidRDefault="00141824" w:rsidP="001418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color w:val="000000" w:themeColor="text1"/>
        </w:rPr>
      </w:pPr>
    </w:p>
    <w:p w:rsidR="00700734" w:rsidRPr="00ED2D84" w:rsidRDefault="00700734" w:rsidP="0070073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Etape 3 : Vé</w:t>
      </w:r>
      <w:r w:rsidR="00EC7138"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rification des connaissances (1h10</w:t>
      </w:r>
      <w:r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00085" w:rsidRPr="00141824" w:rsidRDefault="00900085" w:rsidP="00900085">
      <w:pPr>
        <w:rPr>
          <w:rFonts w:ascii="Times New Roman" w:hAnsi="Times New Roman" w:cs="Times New Roman"/>
          <w:noProof/>
          <w:color w:val="000000" w:themeColor="text1"/>
          <w:sz w:val="16"/>
        </w:rPr>
      </w:pPr>
    </w:p>
    <w:p w:rsidR="00ED2D84" w:rsidRDefault="00ED2D84" w:rsidP="00FF7885">
      <w:pPr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u w:val="single"/>
        </w:rPr>
        <w:t>Exercice 1</w:t>
      </w:r>
    </w:p>
    <w:p w:rsidR="00FA12C7" w:rsidRPr="00FA12C7" w:rsidRDefault="00FA12C7" w:rsidP="00FF7885">
      <w:pPr>
        <w:rPr>
          <w:rFonts w:ascii="Times New Roman" w:hAnsi="Times New Roman" w:cs="Times New Roman"/>
          <w:b/>
          <w:noProof/>
          <w:color w:val="000000" w:themeColor="text1"/>
          <w:sz w:val="12"/>
          <w:u w:val="single"/>
        </w:rPr>
      </w:pPr>
    </w:p>
    <w:p w:rsidR="002B593E" w:rsidRPr="00ED2D84" w:rsidRDefault="004B4E20" w:rsidP="00422896">
      <w:p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 xml:space="preserve">Placez les différents exemples dans le moyen </w:t>
      </w:r>
      <w:r w:rsidR="00422896" w:rsidRPr="00ED2D84">
        <w:rPr>
          <w:rFonts w:ascii="Times New Roman" w:hAnsi="Times New Roman" w:cs="Times New Roman"/>
          <w:noProof/>
          <w:color w:val="000000" w:themeColor="text1"/>
        </w:rPr>
        <w:t>d’intervention de l’Etat correspondant : le prélèvement d’impôts progressifs sur le revenu ; la loi sur la parité hommes-femmes ; l’interdiction de la discrimination à l’embauche ; le droit aux congés payés ; la distribution du revenu de solidarité active (RSA) ; la protection contre les accidents du travail.</w:t>
      </w:r>
    </w:p>
    <w:p w:rsidR="00422896" w:rsidRPr="00141824" w:rsidRDefault="00422896" w:rsidP="00422896">
      <w:pPr>
        <w:jc w:val="both"/>
        <w:rPr>
          <w:rFonts w:ascii="Times New Roman" w:hAnsi="Times New Roman" w:cs="Times New Roman"/>
          <w:noProof/>
          <w:color w:val="000000" w:themeColor="text1"/>
          <w:sz w:val="8"/>
        </w:rPr>
      </w:pPr>
    </w:p>
    <w:tbl>
      <w:tblPr>
        <w:tblStyle w:val="Grilledutableau"/>
        <w:tblW w:w="0" w:type="auto"/>
        <w:tblLook w:val="04A0"/>
      </w:tblPr>
      <w:tblGrid>
        <w:gridCol w:w="3598"/>
        <w:gridCol w:w="3598"/>
        <w:gridCol w:w="3744"/>
      </w:tblGrid>
      <w:tr w:rsidR="00422896" w:rsidRPr="00ED2D84" w:rsidTr="00422896">
        <w:tc>
          <w:tcPr>
            <w:tcW w:w="3598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La redistribution</w:t>
            </w:r>
          </w:p>
        </w:tc>
        <w:tc>
          <w:tcPr>
            <w:tcW w:w="3598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Les droits sociaux</w:t>
            </w:r>
          </w:p>
        </w:tc>
        <w:tc>
          <w:tcPr>
            <w:tcW w:w="3744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La lutte contre les discriminations</w:t>
            </w:r>
          </w:p>
        </w:tc>
      </w:tr>
      <w:tr w:rsidR="00422896" w:rsidRPr="00ED2D84" w:rsidTr="00422896">
        <w:tc>
          <w:tcPr>
            <w:tcW w:w="3598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  <w:p w:rsidR="00422896" w:rsidRPr="00ED2D84" w:rsidRDefault="00422896" w:rsidP="00FE4C2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  <w:p w:rsidR="00422896" w:rsidRPr="00ED2D84" w:rsidRDefault="00422896" w:rsidP="0042289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</w:tc>
        <w:tc>
          <w:tcPr>
            <w:tcW w:w="3598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</w:tc>
        <w:tc>
          <w:tcPr>
            <w:tcW w:w="3744" w:type="dxa"/>
          </w:tcPr>
          <w:p w:rsidR="00422896" w:rsidRPr="00ED2D84" w:rsidRDefault="00422896" w:rsidP="004228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</w:p>
        </w:tc>
      </w:tr>
    </w:tbl>
    <w:p w:rsidR="000715E7" w:rsidRPr="00141824" w:rsidRDefault="000715E7" w:rsidP="00900085">
      <w:pPr>
        <w:rPr>
          <w:rFonts w:ascii="Times New Roman" w:hAnsi="Times New Roman" w:cs="Times New Roman"/>
          <w:noProof/>
          <w:color w:val="000000" w:themeColor="text1"/>
          <w:sz w:val="16"/>
        </w:rPr>
      </w:pPr>
    </w:p>
    <w:p w:rsidR="00ED2D84" w:rsidRDefault="002F5027" w:rsidP="00FE4C20">
      <w:p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>Exercice 2 </w:t>
      </w:r>
    </w:p>
    <w:p w:rsidR="00ED2D84" w:rsidRPr="00FA12C7" w:rsidRDefault="00ED2D84" w:rsidP="00FE4C20">
      <w:pPr>
        <w:rPr>
          <w:rFonts w:ascii="Times New Roman" w:hAnsi="Times New Roman" w:cs="Times New Roman"/>
          <w:noProof/>
          <w:color w:val="000000" w:themeColor="text1"/>
          <w:sz w:val="12"/>
        </w:rPr>
      </w:pPr>
    </w:p>
    <w:p w:rsidR="00FE4C20" w:rsidRPr="00ED2D84" w:rsidRDefault="003F3425" w:rsidP="00FE4C20">
      <w:p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Proposition d’entretien selon les profils des candidats en % (1806 CV envoyés en réponse à 258 offres d’emploi en intérim).</w:t>
      </w:r>
    </w:p>
    <w:p w:rsidR="002F5027" w:rsidRPr="00ED2D84" w:rsidRDefault="003F3425" w:rsidP="00900085">
      <w:p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ED2D84" w:rsidRPr="00ED2D8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34100" cy="2184400"/>
            <wp:effectExtent l="0" t="0" r="12700" b="2540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538C" w:rsidRDefault="0066538C" w:rsidP="00FF7885">
      <w:pPr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ED2D84">
        <w:rPr>
          <w:rFonts w:ascii="Times New Roman" w:hAnsi="Times New Roman" w:cs="Times New Roman"/>
          <w:noProof/>
          <w:color w:val="000000" w:themeColor="text1"/>
          <w:sz w:val="20"/>
        </w:rPr>
        <w:t>Source : Observatoire des discriminations de l’Université de Paris I, 2013.</w:t>
      </w:r>
    </w:p>
    <w:p w:rsidR="00ED2D84" w:rsidRPr="00141824" w:rsidRDefault="00ED2D84" w:rsidP="00FF7885">
      <w:pPr>
        <w:jc w:val="right"/>
        <w:rPr>
          <w:rFonts w:ascii="Times New Roman" w:hAnsi="Times New Roman" w:cs="Times New Roman"/>
          <w:noProof/>
          <w:color w:val="000000" w:themeColor="text1"/>
          <w:sz w:val="6"/>
        </w:rPr>
      </w:pPr>
    </w:p>
    <w:p w:rsidR="002F5027" w:rsidRPr="00ED2D84" w:rsidRDefault="001F5C38" w:rsidP="001F5C38">
      <w:pPr>
        <w:pStyle w:val="Paragraphedeliste"/>
        <w:numPr>
          <w:ilvl w:val="0"/>
          <w:numId w:val="10"/>
        </w:numPr>
        <w:rPr>
          <w:rFonts w:eastAsiaTheme="minorEastAsia"/>
          <w:noProof/>
          <w:color w:val="000000" w:themeColor="text1"/>
          <w:sz w:val="24"/>
          <w:szCs w:val="24"/>
          <w:lang w:eastAsia="fr-FR"/>
        </w:rPr>
      </w:pPr>
      <w:r w:rsidRPr="00ED2D84">
        <w:rPr>
          <w:rFonts w:eastAsiaTheme="minorEastAsia"/>
          <w:noProof/>
          <w:color w:val="000000" w:themeColor="text1"/>
          <w:sz w:val="24"/>
          <w:szCs w:val="24"/>
          <w:lang w:eastAsia="fr-FR"/>
        </w:rPr>
        <w:t>Quelles formes de discrimination apparaissent ici ?</w:t>
      </w:r>
    </w:p>
    <w:p w:rsidR="001F5C38" w:rsidRPr="00ED2D84" w:rsidRDefault="001F5C38" w:rsidP="001F5C38">
      <w:pPr>
        <w:pStyle w:val="Paragraphedeliste"/>
        <w:numPr>
          <w:ilvl w:val="0"/>
          <w:numId w:val="10"/>
        </w:numPr>
        <w:rPr>
          <w:rFonts w:eastAsiaTheme="minorEastAsia"/>
          <w:noProof/>
          <w:color w:val="000000" w:themeColor="text1"/>
          <w:sz w:val="24"/>
          <w:szCs w:val="24"/>
          <w:lang w:eastAsia="fr-FR"/>
        </w:rPr>
      </w:pPr>
      <w:r w:rsidRPr="00ED2D84">
        <w:rPr>
          <w:rFonts w:eastAsiaTheme="minorEastAsia"/>
          <w:noProof/>
          <w:color w:val="000000" w:themeColor="text1"/>
          <w:sz w:val="24"/>
          <w:szCs w:val="24"/>
          <w:lang w:eastAsia="fr-FR"/>
        </w:rPr>
        <w:t>Comment l’Etat peut-il lutter contre ces discriminations ?</w:t>
      </w:r>
    </w:p>
    <w:p w:rsidR="0032074B" w:rsidRPr="00ED2D84" w:rsidRDefault="002B593E" w:rsidP="0032074B">
      <w:pPr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  <w:r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lastRenderedPageBreak/>
        <w:t xml:space="preserve">Exercice </w:t>
      </w:r>
      <w:r w:rsidR="002F5027"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>3</w:t>
      </w:r>
      <w:r w:rsidR="00480779" w:rsidRPr="00ED2D84">
        <w:rPr>
          <w:rFonts w:ascii="Times New Roman" w:hAnsi="Times New Roman" w:cs="Times New Roman"/>
          <w:noProof/>
          <w:color w:val="000000" w:themeColor="text1"/>
        </w:rPr>
        <w:t xml:space="preserve"> :</w:t>
      </w:r>
      <w:r w:rsidR="0032074B" w:rsidRPr="00ED2D84">
        <w:rPr>
          <w:rFonts w:ascii="Times New Roman" w:hAnsi="Times New Roman" w:cs="Times New Roman"/>
          <w:noProof/>
          <w:color w:val="000000" w:themeColor="text1"/>
        </w:rPr>
        <w:t xml:space="preserve"> Montants moyens des prélèvements et prestations, en 2012 (en euros)</w:t>
      </w:r>
    </w:p>
    <w:p w:rsidR="0032074B" w:rsidRPr="00ED2D84" w:rsidRDefault="0032074B" w:rsidP="0032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tbl>
      <w:tblPr>
        <w:tblW w:w="10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9"/>
        <w:gridCol w:w="930"/>
        <w:gridCol w:w="930"/>
        <w:gridCol w:w="930"/>
        <w:gridCol w:w="930"/>
        <w:gridCol w:w="930"/>
        <w:gridCol w:w="930"/>
        <w:gridCol w:w="931"/>
        <w:gridCol w:w="1143"/>
      </w:tblGrid>
      <w:tr w:rsidR="0032074B" w:rsidRPr="00ED2D84" w:rsidTr="0032074B">
        <w:trPr>
          <w:trHeight w:val="180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7654" w:type="dxa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Fractiles de niveau de vie</w:t>
            </w:r>
            <w:r w:rsidRPr="00ED2D8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(1)</w:t>
            </w: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avant redistribution</w:t>
            </w:r>
          </w:p>
        </w:tc>
      </w:tr>
      <w:tr w:rsidR="0032074B" w:rsidRPr="00ED2D84" w:rsidTr="0032074B">
        <w:trPr>
          <w:trHeight w:val="165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D1</w:t>
            </w:r>
            <w:r w:rsidRPr="00ED2D8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(2)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Q1</w:t>
            </w:r>
            <w:r w:rsidRPr="00ED2D8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(3)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Q2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Q3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Q4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Q5</w:t>
            </w:r>
          </w:p>
        </w:tc>
        <w:tc>
          <w:tcPr>
            <w:tcW w:w="9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D10</w:t>
            </w:r>
          </w:p>
        </w:tc>
        <w:tc>
          <w:tcPr>
            <w:tcW w:w="11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Ensemble</w:t>
            </w:r>
          </w:p>
        </w:tc>
      </w:tr>
      <w:tr w:rsidR="0032074B" w:rsidRPr="00ED2D84" w:rsidTr="0032074B">
        <w:trPr>
          <w:trHeight w:val="360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Revenu avant redistribution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4128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BB2360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oval id="Ellipse 2" o:spid="_x0000_s1026" style="position:absolute;left:0;text-align:left;margin-left:2.35pt;margin-top:17.15pt;width:36pt;height:28.3pt;z-index:25165926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" filled="f" strokecolor="#c0504d [3205]" strokeweight="2.25pt"/>
              </w:pict>
            </w:r>
            <w:r w:rsidR="0032074B"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7266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15591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21474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28623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55292</w:t>
            </w:r>
          </w:p>
        </w:tc>
        <w:tc>
          <w:tcPr>
            <w:tcW w:w="9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72195</w:t>
            </w:r>
          </w:p>
        </w:tc>
        <w:tc>
          <w:tcPr>
            <w:tcW w:w="11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25649</w:t>
            </w:r>
          </w:p>
        </w:tc>
      </w:tr>
      <w:tr w:rsidR="0032074B" w:rsidRPr="00ED2D84" w:rsidTr="0032074B">
        <w:trPr>
          <w:trHeight w:val="165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Prélèvements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-165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-333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-1010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-2 066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-3501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-10707</w:t>
            </w:r>
          </w:p>
        </w:tc>
        <w:tc>
          <w:tcPr>
            <w:tcW w:w="9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-15886</w:t>
            </w:r>
          </w:p>
        </w:tc>
        <w:tc>
          <w:tcPr>
            <w:tcW w:w="11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-3 523</w:t>
            </w:r>
          </w:p>
        </w:tc>
      </w:tr>
      <w:tr w:rsidR="0032074B" w:rsidRPr="00ED2D84" w:rsidTr="0032074B">
        <w:trPr>
          <w:trHeight w:val="180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Prestations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5985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4332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1266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736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480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335</w:t>
            </w:r>
          </w:p>
        </w:tc>
        <w:tc>
          <w:tcPr>
            <w:tcW w:w="9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345</w:t>
            </w:r>
          </w:p>
        </w:tc>
        <w:tc>
          <w:tcPr>
            <w:tcW w:w="11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1430</w:t>
            </w:r>
          </w:p>
        </w:tc>
      </w:tr>
      <w:tr w:rsidR="0032074B" w:rsidRPr="00ED2D84" w:rsidTr="0032074B">
        <w:trPr>
          <w:trHeight w:val="165"/>
        </w:trPr>
        <w:tc>
          <w:tcPr>
            <w:tcW w:w="31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Revenu disponible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9948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11266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15847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20145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25602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44919</w:t>
            </w:r>
          </w:p>
        </w:tc>
        <w:tc>
          <w:tcPr>
            <w:tcW w:w="9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56654</w:t>
            </w:r>
          </w:p>
        </w:tc>
        <w:tc>
          <w:tcPr>
            <w:tcW w:w="11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74B" w:rsidRPr="00ED2D84" w:rsidRDefault="0032074B" w:rsidP="0032074B">
            <w:pPr>
              <w:spacing w:line="165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D2D84">
              <w:rPr>
                <w:rFonts w:ascii="Times New Roman" w:hAnsi="Times New Roman" w:cs="Times New Roman"/>
                <w:noProof/>
                <w:color w:val="000000" w:themeColor="text1"/>
              </w:rPr>
              <w:t>23556</w:t>
            </w:r>
          </w:p>
        </w:tc>
      </w:tr>
    </w:tbl>
    <w:p w:rsidR="0032074B" w:rsidRPr="00ED2D84" w:rsidRDefault="0032074B" w:rsidP="00993A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color w:val="000000" w:themeColor="text1"/>
          <w:sz w:val="22"/>
        </w:rPr>
      </w:pPr>
      <w:r w:rsidRPr="00ED2D84">
        <w:rPr>
          <w:rFonts w:ascii="Times New Roman" w:hAnsi="Times New Roman" w:cs="Times New Roman"/>
          <w:noProof/>
          <w:color w:val="000000" w:themeColor="text1"/>
          <w:sz w:val="22"/>
        </w:rPr>
        <w:t>Champ : France métropolitaine, personnes vivant dans un ménage dont le revenu est positif ou nul et dont la personne de référence n’est pas étudiante.</w:t>
      </w:r>
    </w:p>
    <w:p w:rsidR="0032074B" w:rsidRPr="00ED2D84" w:rsidRDefault="0032074B" w:rsidP="00993A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color w:val="000000" w:themeColor="text1"/>
          <w:sz w:val="22"/>
        </w:rPr>
      </w:pPr>
      <w:r w:rsidRPr="00ED2D84">
        <w:rPr>
          <w:rFonts w:ascii="Times New Roman" w:hAnsi="Times New Roman" w:cs="Times New Roman"/>
          <w:noProof/>
          <w:color w:val="000000" w:themeColor="text1"/>
          <w:sz w:val="22"/>
        </w:rPr>
        <w:t>Source : portrait social, INSEE, 2013.</w:t>
      </w:r>
    </w:p>
    <w:p w:rsidR="00AB7ECE" w:rsidRPr="00ED2D84" w:rsidRDefault="00AB7ECE" w:rsidP="00993A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color w:val="000000" w:themeColor="text1"/>
          <w:sz w:val="22"/>
        </w:rPr>
      </w:pPr>
    </w:p>
    <w:p w:rsidR="0032074B" w:rsidRPr="00ED2D84" w:rsidRDefault="0032074B" w:rsidP="0032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(1) revenu disponible du ménage divisé par le nombre d’unités de consommation (1 UC pour le premier adulte ; 0.5 UC pour les autres personnes de 14 ans ou plus ; 0.3 UC pour les enfants de moins de 14 ans).</w:t>
      </w:r>
    </w:p>
    <w:p w:rsidR="0032074B" w:rsidRPr="00ED2D84" w:rsidRDefault="0032074B" w:rsidP="0032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(2) : D1 : 10 % des personnes les plus modestes ; D10 : 10 % des personnes les plus aisés</w:t>
      </w:r>
    </w:p>
    <w:p w:rsidR="0032074B" w:rsidRPr="00ED2D84" w:rsidRDefault="0032074B" w:rsidP="0032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(3) : Q1 : 20 % des personnes les plus modestes ; Q5 : 20 % des personnes les plus aisés</w:t>
      </w:r>
    </w:p>
    <w:p w:rsidR="0032074B" w:rsidRPr="00ED2D84" w:rsidRDefault="0032074B" w:rsidP="003207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32074B" w:rsidRPr="00ED2D84" w:rsidRDefault="0032074B" w:rsidP="00EC7300">
      <w:pPr>
        <w:pStyle w:val="Paragraphedeliste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35" w:hanging="357"/>
        <w:rPr>
          <w:rFonts w:eastAsiaTheme="minorEastAsia"/>
          <w:noProof/>
          <w:color w:val="000000" w:themeColor="text1"/>
          <w:sz w:val="24"/>
          <w:szCs w:val="24"/>
          <w:lang w:eastAsia="fr-FR"/>
        </w:rPr>
      </w:pPr>
      <w:r w:rsidRPr="00ED2D84">
        <w:rPr>
          <w:rFonts w:eastAsiaTheme="minorEastAsia"/>
          <w:noProof/>
          <w:color w:val="000000" w:themeColor="text1"/>
          <w:sz w:val="24"/>
          <w:szCs w:val="24"/>
          <w:lang w:eastAsia="fr-FR"/>
        </w:rPr>
        <w:t>Faites une phrase significative avec la donnée entourée.</w:t>
      </w:r>
    </w:p>
    <w:p w:rsidR="0032074B" w:rsidRPr="00ED2D84" w:rsidRDefault="0032074B" w:rsidP="00EC7300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Montrez les inégalités entre les 10% des personnes les plus modestes et les plus aisées, avant et après redistribution, par deux calculs qui vous semblent appropriés.</w:t>
      </w:r>
    </w:p>
    <w:p w:rsidR="000715E7" w:rsidRPr="00ED2D84" w:rsidRDefault="0032074B" w:rsidP="00EC7300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 xml:space="preserve">En utilisant vos calculs, montrez que l’Etat participe à la réduction des inégalités donc à la cohésion sociale par la redistribution. </w:t>
      </w:r>
    </w:p>
    <w:p w:rsidR="00480779" w:rsidRPr="00ED2D84" w:rsidRDefault="00480779" w:rsidP="00480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1A79E5" w:rsidRPr="00ED2D84" w:rsidRDefault="001A79E5" w:rsidP="00480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80779" w:rsidRPr="00ED2D84" w:rsidRDefault="002B593E" w:rsidP="002B593E">
      <w:p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 xml:space="preserve">Exercice </w:t>
      </w:r>
      <w:r w:rsidR="002F5027"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>4</w:t>
      </w:r>
      <w:r w:rsidR="00480779" w:rsidRPr="00ED2D84">
        <w:rPr>
          <w:rFonts w:ascii="Times New Roman" w:hAnsi="Times New Roman" w:cs="Times New Roman"/>
          <w:noProof/>
          <w:color w:val="000000" w:themeColor="text1"/>
        </w:rPr>
        <w:t xml:space="preserve"> :</w:t>
      </w:r>
      <w:r w:rsidR="006819F2" w:rsidRPr="00ED2D84">
        <w:rPr>
          <w:rFonts w:ascii="Times New Roman" w:hAnsi="Times New Roman" w:cs="Times New Roman"/>
          <w:noProof/>
          <w:color w:val="000000" w:themeColor="text1"/>
        </w:rPr>
        <w:t xml:space="preserve"> chronologie de certains droits sociaux</w:t>
      </w:r>
    </w:p>
    <w:p w:rsidR="006819F2" w:rsidRPr="00ED2D84" w:rsidRDefault="006819F2" w:rsidP="002B593E">
      <w:pPr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769"/>
        <w:gridCol w:w="10064"/>
      </w:tblGrid>
      <w:tr w:rsidR="00EE077F" w:rsidRPr="00ED2D84" w:rsidTr="00B44936">
        <w:trPr>
          <w:trHeight w:val="18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1864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Reconnaissance du droit de grève.</w:t>
            </w:r>
          </w:p>
        </w:tc>
      </w:tr>
      <w:tr w:rsidR="00EE077F" w:rsidRPr="00ED2D84" w:rsidTr="00B44936">
        <w:trPr>
          <w:trHeight w:val="16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1884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Loi Waldeck-Rousseau autorisant les syndicats professionnels.</w:t>
            </w:r>
          </w:p>
        </w:tc>
      </w:tr>
      <w:tr w:rsidR="00EE077F" w:rsidRPr="00ED2D84" w:rsidTr="00B44936">
        <w:trPr>
          <w:trHeight w:val="18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1898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Loi sur la responsabilité patronale dans les accidents du travail.</w:t>
            </w:r>
          </w:p>
        </w:tc>
      </w:tr>
      <w:tr w:rsidR="00EE077F" w:rsidRPr="00ED2D84" w:rsidTr="00B44936">
        <w:trPr>
          <w:trHeight w:val="34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1936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Accords Matignon : lois sur la semaine de 40 heures et les congés payés, extension des conventions collectives et institution des délégués du personnel.</w:t>
            </w:r>
          </w:p>
        </w:tc>
      </w:tr>
      <w:tr w:rsidR="00EE077F" w:rsidRPr="00ED2D84" w:rsidTr="00B44936">
        <w:trPr>
          <w:trHeight w:val="36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1945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Ordonnance du 4 octobre instituant le régime général de Sécurité sociale. Instauration des comités d'entreprise. Lois sur les délégués du personnel.</w:t>
            </w:r>
          </w:p>
        </w:tc>
      </w:tr>
      <w:tr w:rsidR="00EE077F" w:rsidRPr="00ED2D84" w:rsidTr="00B44936">
        <w:trPr>
          <w:trHeight w:val="16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1950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Instauration du SMIG, remplacé en 1970 par le SMIC.</w:t>
            </w:r>
          </w:p>
        </w:tc>
      </w:tr>
      <w:tr w:rsidR="00EE077F" w:rsidRPr="00ED2D84" w:rsidTr="00B44936">
        <w:trPr>
          <w:trHeight w:val="18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1958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Création de l'assurance chômage.</w:t>
            </w:r>
          </w:p>
        </w:tc>
      </w:tr>
      <w:tr w:rsidR="00EE077F" w:rsidRPr="00ED2D84" w:rsidTr="00B44936">
        <w:trPr>
          <w:trHeight w:val="16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1968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Accords de Grenelle : création des sections syndicales d'entreprise.</w:t>
            </w:r>
          </w:p>
        </w:tc>
      </w:tr>
      <w:tr w:rsidR="00EE077F" w:rsidRPr="00ED2D84" w:rsidTr="00B44936">
        <w:trPr>
          <w:trHeight w:val="54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1982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Instauration de la semaine de 39 heures, cinquième semaine de congés payés, retraite à 60 ans. Lois Auroux sur le droit d'expression et la négociation collective dans les entreprises.</w:t>
            </w:r>
          </w:p>
        </w:tc>
      </w:tr>
      <w:tr w:rsidR="00EE077F" w:rsidRPr="00ED2D84" w:rsidTr="00B44936">
        <w:trPr>
          <w:trHeight w:val="16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1988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Création du RMI.</w:t>
            </w:r>
          </w:p>
        </w:tc>
      </w:tr>
      <w:tr w:rsidR="00EE077F" w:rsidRPr="00ED2D84" w:rsidTr="00B44936">
        <w:trPr>
          <w:trHeight w:val="18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1990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Création de la CSG.</w:t>
            </w:r>
          </w:p>
        </w:tc>
      </w:tr>
      <w:tr w:rsidR="00EE077F" w:rsidRPr="00ED2D84" w:rsidTr="00B44936">
        <w:trPr>
          <w:trHeight w:val="16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1999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Mise en place de la CMU.</w:t>
            </w:r>
          </w:p>
        </w:tc>
      </w:tr>
      <w:tr w:rsidR="00EE077F" w:rsidRPr="00ED2D84" w:rsidTr="00B44936">
        <w:trPr>
          <w:trHeight w:val="18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B44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2009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181" w:rsidRPr="00ED2D84" w:rsidRDefault="00613181" w:rsidP="00EE07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D2D84">
              <w:rPr>
                <w:rFonts w:ascii="Times New Roman" w:hAnsi="Times New Roman" w:cs="Times New Roman"/>
                <w:color w:val="000000"/>
                <w:u w:color="000000"/>
              </w:rPr>
              <w:t>Mise en place du RSA.</w:t>
            </w:r>
          </w:p>
        </w:tc>
      </w:tr>
    </w:tbl>
    <w:p w:rsidR="00480779" w:rsidRPr="00ED2D84" w:rsidRDefault="00480779" w:rsidP="00480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613181" w:rsidRPr="00ED2D84" w:rsidRDefault="00613181" w:rsidP="00EC7300">
      <w:pPr>
        <w:numPr>
          <w:ilvl w:val="0"/>
          <w:numId w:val="9"/>
        </w:num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Donnez des exemples montrant que le statut de salarié a progressivement permis aux individus de bénéficier de droits sociaux.</w:t>
      </w:r>
    </w:p>
    <w:p w:rsidR="00480779" w:rsidRPr="00ED2D84" w:rsidRDefault="00613181" w:rsidP="00EC7300">
      <w:pPr>
        <w:numPr>
          <w:ilvl w:val="0"/>
          <w:numId w:val="9"/>
        </w:numPr>
        <w:rPr>
          <w:rFonts w:ascii="Times New Roman" w:hAnsi="Times New Roman" w:cs="Times New Roman"/>
          <w:noProof/>
          <w:color w:val="000000" w:themeColor="text1"/>
        </w:rPr>
      </w:pPr>
      <w:r w:rsidRPr="00ED2D84">
        <w:rPr>
          <w:rFonts w:ascii="Times New Roman" w:hAnsi="Times New Roman" w:cs="Times New Roman"/>
          <w:noProof/>
          <w:color w:val="000000" w:themeColor="text1"/>
        </w:rPr>
        <w:t>Montrez que l’Etat favorise la cohésion sociale en garantissant certains droits sociaux.</w:t>
      </w:r>
    </w:p>
    <w:p w:rsidR="000A5C27" w:rsidRPr="00ED2D84" w:rsidRDefault="000A5C27" w:rsidP="000A5C27">
      <w:pPr>
        <w:rPr>
          <w:rFonts w:ascii="Times New Roman" w:hAnsi="Times New Roman" w:cs="Times New Roman"/>
          <w:noProof/>
          <w:color w:val="000000" w:themeColor="text1"/>
        </w:rPr>
      </w:pP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 xml:space="preserve">Document </w:t>
      </w:r>
      <w:r w:rsidR="002F5027" w:rsidRPr="00ED2D84">
        <w:rPr>
          <w:rFonts w:ascii="Times New Roman" w:hAnsi="Times New Roman" w:cs="Times New Roman"/>
          <w:b/>
          <w:noProof/>
          <w:color w:val="000000" w:themeColor="text1"/>
          <w:u w:val="single"/>
        </w:rPr>
        <w:t>5</w:t>
      </w:r>
      <w:r w:rsidRPr="00ED2D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2D84">
        <w:rPr>
          <w:rFonts w:ascii="Times New Roman" w:hAnsi="Times New Roman" w:cs="Times New Roman"/>
          <w:color w:val="000000"/>
        </w:rPr>
        <w:t>: Monographie d’Alain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« Alain semble, lui, avoir plus de relations avec l'extérieur qu'Amie :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« Quand je vais faire une petite belote au café, le soir, je dis aux gens ce qui m'arrive. Ça me vide la tête d'en parler. » Il est aussi beaucoup plus optimiste pour retrouver un emploi « J'ai quand même pas mal de co</w:t>
      </w:r>
      <w:r w:rsidRPr="00ED2D84">
        <w:rPr>
          <w:rFonts w:ascii="Times New Roman" w:hAnsi="Times New Roman" w:cs="Times New Roman"/>
          <w:color w:val="000000"/>
        </w:rPr>
        <w:t>m</w:t>
      </w:r>
      <w:r w:rsidRPr="00ED2D84">
        <w:rPr>
          <w:rFonts w:ascii="Times New Roman" w:hAnsi="Times New Roman" w:cs="Times New Roman"/>
          <w:color w:val="000000"/>
        </w:rPr>
        <w:t>pétences, électricité, mécanique, électronique, pneumatique, hydraulique, et même outilleur. Je n'ai qu'un CAP, mais avec mon expérience, on m'a dit que je pouvais avoir un niveau BTS. »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 xml:space="preserve">Seulement, quelques semaines avant son licenciement, Alain s'est séparé de sa femme et s'est trouvé sans domicile pendant plus de trois mois. Il a commencé à dormir dans l'usine : « Dans un petit local à moi que je m'étais préparé. Le matin, je me levais tôt pour éviter que les gens s'en aperçoivent, que ça parle sur moi ». 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Après le licenciement, Alain a continué à dormir quelque temps dans l'usine désaffectée, mais celle-ci a définitivement fermé. Alain s'est alors retrouvé SDF, sans un centime. Sans paye, ni chômage ni indemnités, difficile de convaincre un bailleur et de verser une caution Alain a alors été mis en contact avec une caisse sol</w:t>
      </w:r>
      <w:r w:rsidRPr="00ED2D84">
        <w:rPr>
          <w:rFonts w:ascii="Times New Roman" w:hAnsi="Times New Roman" w:cs="Times New Roman"/>
          <w:color w:val="000000"/>
        </w:rPr>
        <w:t>i</w:t>
      </w:r>
      <w:r w:rsidRPr="00ED2D84">
        <w:rPr>
          <w:rFonts w:ascii="Times New Roman" w:hAnsi="Times New Roman" w:cs="Times New Roman"/>
          <w:color w:val="000000"/>
        </w:rPr>
        <w:t>daire. Normalement, ce type d'organisme octroie des prêts mais Alain était surendetté et interdit bancaire. La caisse a cependant accepté d'établir un document prouvant qu'il toucherait bien ses indemnités dans les deux mois, ce qui a convaincu un propriétaire de lui louer un petit appartement, au-dessus d’un salon de  coiffure. « Une caisse solidaire, je ne savais pas qu'il y avait une banque comme ça je ne savais même pas que cela exi</w:t>
      </w:r>
      <w:r w:rsidRPr="00ED2D84">
        <w:rPr>
          <w:rFonts w:ascii="Times New Roman" w:hAnsi="Times New Roman" w:cs="Times New Roman"/>
          <w:color w:val="000000"/>
        </w:rPr>
        <w:t>s</w:t>
      </w:r>
      <w:r w:rsidRPr="00ED2D84">
        <w:rPr>
          <w:rFonts w:ascii="Times New Roman" w:hAnsi="Times New Roman" w:cs="Times New Roman"/>
          <w:color w:val="000000"/>
        </w:rPr>
        <w:t>tait ». Alain se donne trois mois pour meubler son appartement, avec les indemnités de licenciement enfin to</w:t>
      </w:r>
      <w:r w:rsidRPr="00ED2D84">
        <w:rPr>
          <w:rFonts w:ascii="Times New Roman" w:hAnsi="Times New Roman" w:cs="Times New Roman"/>
          <w:color w:val="000000"/>
        </w:rPr>
        <w:t>u</w:t>
      </w:r>
      <w:r w:rsidRPr="00ED2D84">
        <w:rPr>
          <w:rFonts w:ascii="Times New Roman" w:hAnsi="Times New Roman" w:cs="Times New Roman"/>
          <w:color w:val="000000"/>
        </w:rPr>
        <w:t>chées, puis il commencera à chercher un emploi. […]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« Un handicap pour trouver un boulot. Je me voyais mal me présenter chez un patron avec un sac en pla</w:t>
      </w:r>
      <w:r w:rsidRPr="00ED2D84">
        <w:rPr>
          <w:rFonts w:ascii="Times New Roman" w:hAnsi="Times New Roman" w:cs="Times New Roman"/>
          <w:color w:val="000000"/>
        </w:rPr>
        <w:t>s</w:t>
      </w:r>
      <w:r w:rsidRPr="00ED2D84">
        <w:rPr>
          <w:rFonts w:ascii="Times New Roman" w:hAnsi="Times New Roman" w:cs="Times New Roman"/>
          <w:color w:val="000000"/>
        </w:rPr>
        <w:t xml:space="preserve">tique d'un côté et une valise de l'autre ! Le patron, il </w:t>
      </w:r>
      <w:proofErr w:type="gramStart"/>
      <w:r w:rsidRPr="00ED2D84">
        <w:rPr>
          <w:rFonts w:ascii="Times New Roman" w:hAnsi="Times New Roman" w:cs="Times New Roman"/>
          <w:color w:val="000000"/>
        </w:rPr>
        <w:t>a</w:t>
      </w:r>
      <w:proofErr w:type="gramEnd"/>
      <w:r w:rsidRPr="00ED2D84">
        <w:rPr>
          <w:rFonts w:ascii="Times New Roman" w:hAnsi="Times New Roman" w:cs="Times New Roman"/>
          <w:color w:val="000000"/>
        </w:rPr>
        <w:t xml:space="preserve"> pas besoin de ça, il a besoin de quelqu'un qui a une tenue, qui soit correct, qui présente... Si un patron embauche quelqu'un, </w:t>
      </w:r>
      <w:proofErr w:type="gramStart"/>
      <w:r w:rsidRPr="00ED2D84">
        <w:rPr>
          <w:rFonts w:ascii="Times New Roman" w:hAnsi="Times New Roman" w:cs="Times New Roman"/>
          <w:color w:val="000000"/>
        </w:rPr>
        <w:t>c'est</w:t>
      </w:r>
      <w:proofErr w:type="gramEnd"/>
      <w:r w:rsidRPr="00ED2D84">
        <w:rPr>
          <w:rFonts w:ascii="Times New Roman" w:hAnsi="Times New Roman" w:cs="Times New Roman"/>
          <w:color w:val="000000"/>
        </w:rPr>
        <w:t xml:space="preserve"> pas pour embaucher les problèmes de l'employé en même temps. Donc, si on se présente avec un sac en plastique, c'est certain que </w:t>
      </w:r>
      <w:proofErr w:type="gramStart"/>
      <w:r w:rsidRPr="00ED2D84">
        <w:rPr>
          <w:rFonts w:ascii="Times New Roman" w:hAnsi="Times New Roman" w:cs="Times New Roman"/>
          <w:color w:val="000000"/>
        </w:rPr>
        <w:t>ça passe</w:t>
      </w:r>
      <w:proofErr w:type="gramEnd"/>
      <w:r w:rsidRPr="00ED2D84">
        <w:rPr>
          <w:rFonts w:ascii="Times New Roman" w:hAnsi="Times New Roman" w:cs="Times New Roman"/>
          <w:color w:val="000000"/>
        </w:rPr>
        <w:t xml:space="preserve"> pas. Est-ce que vous vous promenez avec votre maison sur le dos, vous ? »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A5C27" w:rsidRPr="00ED2D84" w:rsidRDefault="00BB2360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hyperlink r:id="rId9" w:history="1">
        <w:r w:rsidR="000A5C27" w:rsidRPr="00ED2D84">
          <w:rPr>
            <w:rFonts w:ascii="Times New Roman" w:hAnsi="Times New Roman" w:cs="Times New Roman"/>
            <w:color w:val="000000"/>
          </w:rPr>
          <w:t>Stéphane Beaud</w:t>
        </w:r>
      </w:hyperlink>
      <w:r w:rsidR="000A5C27" w:rsidRPr="00ED2D84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="000A5C27" w:rsidRPr="00ED2D84">
          <w:rPr>
            <w:rFonts w:ascii="Times New Roman" w:hAnsi="Times New Roman" w:cs="Times New Roman"/>
            <w:color w:val="000000"/>
          </w:rPr>
          <w:t xml:space="preserve">Joseph </w:t>
        </w:r>
        <w:proofErr w:type="spellStart"/>
        <w:r w:rsidR="000A5C27" w:rsidRPr="00ED2D84">
          <w:rPr>
            <w:rFonts w:ascii="Times New Roman" w:hAnsi="Times New Roman" w:cs="Times New Roman"/>
            <w:color w:val="000000"/>
          </w:rPr>
          <w:t>Confavreux</w:t>
        </w:r>
        <w:proofErr w:type="spellEnd"/>
      </w:hyperlink>
      <w:r w:rsidR="000A5C27" w:rsidRPr="00ED2D84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="000A5C27" w:rsidRPr="00ED2D84">
          <w:rPr>
            <w:rFonts w:ascii="Times New Roman" w:hAnsi="Times New Roman" w:cs="Times New Roman"/>
            <w:color w:val="000000"/>
          </w:rPr>
          <w:t xml:space="preserve">Jade </w:t>
        </w:r>
        <w:proofErr w:type="spellStart"/>
        <w:r w:rsidR="000A5C27" w:rsidRPr="00ED2D84">
          <w:rPr>
            <w:rFonts w:ascii="Times New Roman" w:hAnsi="Times New Roman" w:cs="Times New Roman"/>
            <w:color w:val="000000"/>
          </w:rPr>
          <w:t>Lindgaard</w:t>
        </w:r>
        <w:proofErr w:type="spellEnd"/>
      </w:hyperlink>
      <w:r w:rsidR="000A5C27" w:rsidRPr="00ED2D8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0A5C27" w:rsidRPr="00ED2D84">
        <w:rPr>
          <w:rFonts w:ascii="Times New Roman" w:hAnsi="Times New Roman" w:cs="Times New Roman"/>
          <w:color w:val="000000"/>
        </w:rPr>
        <w:t>dir</w:t>
      </w:r>
      <w:proofErr w:type="spellEnd"/>
      <w:r w:rsidR="000A5C27" w:rsidRPr="00ED2D84">
        <w:rPr>
          <w:rFonts w:ascii="Times New Roman" w:hAnsi="Times New Roman" w:cs="Times New Roman"/>
          <w:color w:val="000000"/>
        </w:rPr>
        <w:t>.),</w:t>
      </w:r>
      <w:r w:rsidR="000A5C27" w:rsidRPr="00ED2D84">
        <w:rPr>
          <w:rFonts w:ascii="Times New Roman" w:hAnsi="Times New Roman" w:cs="Times New Roman"/>
          <w:i/>
          <w:iCs/>
          <w:color w:val="000000"/>
        </w:rPr>
        <w:t xml:space="preserve"> La France invisible,</w:t>
      </w:r>
      <w:r w:rsidR="000A5C27" w:rsidRPr="00ED2D84">
        <w:rPr>
          <w:rFonts w:ascii="Times New Roman" w:hAnsi="Times New Roman" w:cs="Times New Roman"/>
          <w:color w:val="000000"/>
        </w:rPr>
        <w:t xml:space="preserve"> La Découverte, coll. « La D</w:t>
      </w:r>
      <w:r w:rsidR="000A5C27" w:rsidRPr="00ED2D84">
        <w:rPr>
          <w:rFonts w:ascii="Times New Roman" w:hAnsi="Times New Roman" w:cs="Times New Roman"/>
          <w:color w:val="000000"/>
        </w:rPr>
        <w:t>é</w:t>
      </w:r>
      <w:r w:rsidR="000A5C27" w:rsidRPr="00ED2D84">
        <w:rPr>
          <w:rFonts w:ascii="Times New Roman" w:hAnsi="Times New Roman" w:cs="Times New Roman"/>
          <w:color w:val="000000"/>
        </w:rPr>
        <w:t>couverte/Poche », 2008</w:t>
      </w:r>
    </w:p>
    <w:p w:rsidR="000A5C27" w:rsidRPr="00ED2D84" w:rsidRDefault="000A5C27" w:rsidP="000A5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0A5C27" w:rsidRPr="00ED2D84" w:rsidRDefault="000A5C27" w:rsidP="000A5C27">
      <w:pPr>
        <w:pStyle w:val="Paragraphedeliste"/>
        <w:widowControl w:val="0"/>
        <w:numPr>
          <w:ilvl w:val="0"/>
          <w:numId w:val="7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noProof/>
          <w:color w:val="000000" w:themeColor="text1"/>
          <w:sz w:val="24"/>
          <w:szCs w:val="24"/>
          <w:lang w:eastAsia="fr-FR"/>
        </w:rPr>
      </w:pPr>
      <w:r w:rsidRPr="00ED2D84">
        <w:rPr>
          <w:rFonts w:eastAsiaTheme="minorEastAsia"/>
          <w:noProof/>
          <w:color w:val="000000" w:themeColor="text1"/>
          <w:sz w:val="24"/>
          <w:szCs w:val="24"/>
          <w:lang w:eastAsia="fr-FR"/>
        </w:rPr>
        <w:t>Rapprochez l’histoire d’Alain de l’analyse de Serge Paugam sur la disqualification sociale ou de celle de Robert Castel sur la désaffiliation.</w:t>
      </w:r>
    </w:p>
    <w:p w:rsidR="000A5C27" w:rsidRPr="00ED2D84" w:rsidRDefault="000A5C27" w:rsidP="000A5C27">
      <w:pPr>
        <w:pStyle w:val="Paragraphedeliste"/>
        <w:widowControl w:val="0"/>
        <w:numPr>
          <w:ilvl w:val="0"/>
          <w:numId w:val="7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noProof/>
          <w:color w:val="000000" w:themeColor="text1"/>
          <w:sz w:val="24"/>
          <w:szCs w:val="24"/>
          <w:lang w:eastAsia="fr-FR"/>
        </w:rPr>
      </w:pPr>
      <w:r w:rsidRPr="00ED2D84">
        <w:rPr>
          <w:rFonts w:eastAsiaTheme="minorEastAsia"/>
          <w:noProof/>
          <w:color w:val="000000" w:themeColor="text1"/>
          <w:sz w:val="24"/>
          <w:szCs w:val="24"/>
          <w:lang w:eastAsia="fr-FR"/>
        </w:rPr>
        <w:t xml:space="preserve">Quels outils l’Etat a-t-il à sa disposition pour éviter ces situations ? Donnez des exemples précis. </w:t>
      </w:r>
    </w:p>
    <w:p w:rsidR="000A5C27" w:rsidRPr="00ED2D84" w:rsidRDefault="000A5C27" w:rsidP="000A5C27">
      <w:pPr>
        <w:rPr>
          <w:rFonts w:ascii="Times New Roman" w:hAnsi="Times New Roman" w:cs="Times New Roman"/>
          <w:noProof/>
          <w:color w:val="000000" w:themeColor="text1"/>
        </w:rPr>
      </w:pPr>
    </w:p>
    <w:p w:rsidR="00613181" w:rsidRPr="00ED2D84" w:rsidRDefault="00613181" w:rsidP="00480779">
      <w:pPr>
        <w:rPr>
          <w:rFonts w:ascii="Times New Roman" w:hAnsi="Times New Roman" w:cs="Times New Roman"/>
          <w:noProof/>
          <w:color w:val="000000" w:themeColor="text1"/>
        </w:rPr>
      </w:pPr>
    </w:p>
    <w:p w:rsidR="000562FC" w:rsidRPr="00ED2D84" w:rsidRDefault="000047E8" w:rsidP="000562F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Etape 4 : Tâche finale (50’</w:t>
      </w:r>
      <w:r w:rsidR="000562FC" w:rsidRPr="00ED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537FA" w:rsidRPr="00ED2D84" w:rsidRDefault="005537FA" w:rsidP="009E2F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537FA" w:rsidRDefault="005537FA" w:rsidP="009E2FAF">
      <w:pPr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Vous êtes un élu politique. Vous devez montrez à vos électeurs par un discours d’une page comment la mobilisation de différents instruments par l’Etat permet d’assurer la cohésion sociale.</w:t>
      </w:r>
    </w:p>
    <w:p w:rsidR="00132135" w:rsidRPr="00ED2D84" w:rsidRDefault="00132135" w:rsidP="009E2FAF">
      <w:pPr>
        <w:jc w:val="both"/>
        <w:rPr>
          <w:rFonts w:ascii="Times New Roman" w:hAnsi="Times New Roman" w:cs="Times New Roman"/>
          <w:color w:val="000000"/>
        </w:rPr>
      </w:pPr>
    </w:p>
    <w:p w:rsidR="000562FC" w:rsidRPr="00ED2D84" w:rsidRDefault="005537FA" w:rsidP="009E2FAF">
      <w:pPr>
        <w:jc w:val="both"/>
        <w:rPr>
          <w:rFonts w:ascii="Times New Roman" w:hAnsi="Times New Roman" w:cs="Times New Roman"/>
          <w:color w:val="000000"/>
        </w:rPr>
      </w:pPr>
      <w:r w:rsidRPr="00ED2D84">
        <w:rPr>
          <w:rFonts w:ascii="Times New Roman" w:hAnsi="Times New Roman" w:cs="Times New Roman"/>
          <w:color w:val="000000"/>
        </w:rPr>
        <w:tab/>
        <w:t>Vous devez mobiliser les documents et les notions suivantes : cohésion sociale, solidarité, droits s</w:t>
      </w:r>
      <w:r w:rsidRPr="00ED2D84">
        <w:rPr>
          <w:rFonts w:ascii="Times New Roman" w:hAnsi="Times New Roman" w:cs="Times New Roman"/>
          <w:color w:val="000000"/>
        </w:rPr>
        <w:t>o</w:t>
      </w:r>
      <w:r w:rsidRPr="00ED2D84">
        <w:rPr>
          <w:rFonts w:ascii="Times New Roman" w:hAnsi="Times New Roman" w:cs="Times New Roman"/>
          <w:color w:val="000000"/>
        </w:rPr>
        <w:t xml:space="preserve">ciaux, discriminations, redistribution. </w:t>
      </w:r>
    </w:p>
    <w:sectPr w:rsidR="000562FC" w:rsidRPr="00ED2D84" w:rsidSect="007144E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D945C76"/>
    <w:lvl w:ilvl="0" w:tplc="8BF6F410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EastAsia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3C7490"/>
    <w:multiLevelType w:val="hybridMultilevel"/>
    <w:tmpl w:val="8C82F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A25"/>
    <w:multiLevelType w:val="hybridMultilevel"/>
    <w:tmpl w:val="480AF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47FE"/>
    <w:multiLevelType w:val="hybridMultilevel"/>
    <w:tmpl w:val="4B5EB7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2D60"/>
    <w:multiLevelType w:val="hybridMultilevel"/>
    <w:tmpl w:val="EC18EA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A0043A"/>
    <w:multiLevelType w:val="hybridMultilevel"/>
    <w:tmpl w:val="F018627C"/>
    <w:lvl w:ilvl="0" w:tplc="3280DD78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66E2484C"/>
    <w:multiLevelType w:val="hybridMultilevel"/>
    <w:tmpl w:val="659ED742"/>
    <w:lvl w:ilvl="0" w:tplc="FEA46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144E7"/>
    <w:rsid w:val="000047E8"/>
    <w:rsid w:val="000562FC"/>
    <w:rsid w:val="000715E7"/>
    <w:rsid w:val="00076397"/>
    <w:rsid w:val="000A5C27"/>
    <w:rsid w:val="00125A82"/>
    <w:rsid w:val="00132135"/>
    <w:rsid w:val="00141824"/>
    <w:rsid w:val="001A79E5"/>
    <w:rsid w:val="001F5C38"/>
    <w:rsid w:val="00233ED5"/>
    <w:rsid w:val="002B593E"/>
    <w:rsid w:val="002F5027"/>
    <w:rsid w:val="0032074B"/>
    <w:rsid w:val="003B4718"/>
    <w:rsid w:val="003F3425"/>
    <w:rsid w:val="004018B9"/>
    <w:rsid w:val="00422896"/>
    <w:rsid w:val="00480779"/>
    <w:rsid w:val="004B4E20"/>
    <w:rsid w:val="004B523D"/>
    <w:rsid w:val="004C1CD7"/>
    <w:rsid w:val="00540061"/>
    <w:rsid w:val="005537FA"/>
    <w:rsid w:val="00567B9F"/>
    <w:rsid w:val="00606178"/>
    <w:rsid w:val="006122DA"/>
    <w:rsid w:val="00613181"/>
    <w:rsid w:val="0066538C"/>
    <w:rsid w:val="00674D22"/>
    <w:rsid w:val="006819F2"/>
    <w:rsid w:val="0069550E"/>
    <w:rsid w:val="006C13AA"/>
    <w:rsid w:val="006E2023"/>
    <w:rsid w:val="006E34C4"/>
    <w:rsid w:val="00700734"/>
    <w:rsid w:val="007138B5"/>
    <w:rsid w:val="007144E7"/>
    <w:rsid w:val="007A101A"/>
    <w:rsid w:val="007A5C7C"/>
    <w:rsid w:val="007A77CD"/>
    <w:rsid w:val="007C734D"/>
    <w:rsid w:val="00830E71"/>
    <w:rsid w:val="008C21F5"/>
    <w:rsid w:val="00900085"/>
    <w:rsid w:val="00914276"/>
    <w:rsid w:val="00991023"/>
    <w:rsid w:val="00993AED"/>
    <w:rsid w:val="009C4F32"/>
    <w:rsid w:val="009E1C03"/>
    <w:rsid w:val="009E2FAF"/>
    <w:rsid w:val="009E77AF"/>
    <w:rsid w:val="00AB7ECE"/>
    <w:rsid w:val="00B0479C"/>
    <w:rsid w:val="00B44936"/>
    <w:rsid w:val="00B67318"/>
    <w:rsid w:val="00B86115"/>
    <w:rsid w:val="00BB2360"/>
    <w:rsid w:val="00BF7C0B"/>
    <w:rsid w:val="00C11EA8"/>
    <w:rsid w:val="00CA2BFC"/>
    <w:rsid w:val="00CD7F64"/>
    <w:rsid w:val="00CF068A"/>
    <w:rsid w:val="00D80A82"/>
    <w:rsid w:val="00DA5226"/>
    <w:rsid w:val="00DB7918"/>
    <w:rsid w:val="00DC566D"/>
    <w:rsid w:val="00E45363"/>
    <w:rsid w:val="00E97247"/>
    <w:rsid w:val="00EA4CA6"/>
    <w:rsid w:val="00EC7138"/>
    <w:rsid w:val="00EC7300"/>
    <w:rsid w:val="00ED2D84"/>
    <w:rsid w:val="00ED47BD"/>
    <w:rsid w:val="00EE077F"/>
    <w:rsid w:val="00FA12C7"/>
    <w:rsid w:val="00FB08A9"/>
    <w:rsid w:val="00FE4C20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44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0008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2"/>
      <w:lang w:eastAsia="en-US"/>
    </w:rPr>
  </w:style>
  <w:style w:type="paragraph" w:styleId="Sansinterligne">
    <w:name w:val="No Spacing"/>
    <w:autoRedefine/>
    <w:uiPriority w:val="1"/>
    <w:qFormat/>
    <w:rsid w:val="00900085"/>
    <w:pPr>
      <w:jc w:val="both"/>
    </w:pPr>
    <w:rPr>
      <w:rFonts w:ascii="Calibri" w:eastAsia="Calibri" w:hAnsi="Calibri" w:cs="Times New Roman"/>
      <w:noProof/>
      <w:color w:val="000000" w:themeColor="text1"/>
      <w:sz w:val="20"/>
      <w:szCs w:val="22"/>
    </w:rPr>
  </w:style>
  <w:style w:type="paragraph" w:styleId="NormalWeb">
    <w:name w:val="Normal (Web)"/>
    <w:basedOn w:val="Normal"/>
    <w:uiPriority w:val="99"/>
    <w:unhideWhenUsed/>
    <w:rsid w:val="008C21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1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1F5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Normal"/>
    <w:rsid w:val="00ED4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7A77C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613181"/>
  </w:style>
  <w:style w:type="character" w:styleId="Lienhypertextesuivivisit">
    <w:name w:val="FollowedHyperlink"/>
    <w:basedOn w:val="Policepardfaut"/>
    <w:uiPriority w:val="99"/>
    <w:semiHidden/>
    <w:unhideWhenUsed/>
    <w:rsid w:val="00ED2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44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0008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2"/>
      <w:lang w:eastAsia="en-US"/>
    </w:rPr>
  </w:style>
  <w:style w:type="paragraph" w:styleId="Sansinterligne">
    <w:name w:val="No Spacing"/>
    <w:autoRedefine/>
    <w:uiPriority w:val="1"/>
    <w:qFormat/>
    <w:rsid w:val="00900085"/>
    <w:pPr>
      <w:jc w:val="both"/>
    </w:pPr>
    <w:rPr>
      <w:rFonts w:ascii="Calibri" w:eastAsia="Calibri" w:hAnsi="Calibri" w:cs="Times New Roman"/>
      <w:noProof/>
      <w:color w:val="000000" w:themeColor="text1"/>
      <w:sz w:val="20"/>
      <w:szCs w:val="22"/>
    </w:rPr>
  </w:style>
  <w:style w:type="paragraph" w:styleId="NormalWeb">
    <w:name w:val="Normal (Web)"/>
    <w:basedOn w:val="Normal"/>
    <w:uiPriority w:val="99"/>
    <w:unhideWhenUsed/>
    <w:rsid w:val="008C21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1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1F5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Normal"/>
    <w:rsid w:val="00ED4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7A77C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613181"/>
  </w:style>
  <w:style w:type="character" w:styleId="Lienhypertextesuivivisit">
    <w:name w:val="FollowedHyperlink"/>
    <w:basedOn w:val="Policepardfaut"/>
    <w:uiPriority w:val="99"/>
    <w:semiHidden/>
    <w:unhideWhenUsed/>
    <w:rsid w:val="00ED2D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ver.fr/3y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ectures.revues.org/1684" TargetMode="External"/><Relationship Id="rId5" Type="http://schemas.openxmlformats.org/officeDocument/2006/relationships/hyperlink" Target="http://ses.webclass.fr/hQt/jt/rsa-contre-benevolat-impossible-mettre-en-place-pour-marisol-touraine" TargetMode="External"/><Relationship Id="rId10" Type="http://schemas.openxmlformats.org/officeDocument/2006/relationships/hyperlink" Target="http://lectures.revues.org/1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ctures.revues.org/1682" TargetMode="Externa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fr-FR"/>
              </a:p>
            </c:txPr>
            <c:showVal val="1"/>
          </c:dLbls>
          <c:cat>
            <c:strRef>
              <c:f>Feuil1!$A$1:$A$7</c:f>
              <c:strCache>
                <c:ptCount val="7"/>
                <c:pt idx="0">
                  <c:v>Candidat "standard"</c:v>
                </c:pt>
                <c:pt idx="1">
                  <c:v>Femme</c:v>
                </c:pt>
                <c:pt idx="2">
                  <c:v>Résidant au Val-Fourré</c:v>
                </c:pt>
                <c:pt idx="3">
                  <c:v>Apparence disgracieuse</c:v>
                </c:pt>
                <c:pt idx="4">
                  <c:v>Plus de 50 ans</c:v>
                </c:pt>
                <c:pt idx="5">
                  <c:v>D'origine marocaine</c:v>
                </c:pt>
                <c:pt idx="6">
                  <c:v>Handicapé</c:v>
                </c:pt>
              </c:strCache>
            </c:strRef>
          </c:cat>
          <c:val>
            <c:numRef>
              <c:f>Feuil1!$B$1:$B$7</c:f>
              <c:numCache>
                <c:formatCode>General</c:formatCode>
                <c:ptCount val="7"/>
                <c:pt idx="0">
                  <c:v>29</c:v>
                </c:pt>
                <c:pt idx="1">
                  <c:v>27</c:v>
                </c:pt>
                <c:pt idx="2">
                  <c:v>17</c:v>
                </c:pt>
                <c:pt idx="3">
                  <c:v>13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axId val="68638208"/>
        <c:axId val="68639744"/>
      </c:barChart>
      <c:catAx>
        <c:axId val="68638208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/>
            </a:pPr>
            <a:endParaRPr lang="fr-FR"/>
          </a:p>
        </c:txPr>
        <c:crossAx val="68639744"/>
        <c:crosses val="autoZero"/>
        <c:auto val="1"/>
        <c:lblAlgn val="ctr"/>
        <c:lblOffset val="100"/>
      </c:catAx>
      <c:valAx>
        <c:axId val="68639744"/>
        <c:scaling>
          <c:orientation val="minMax"/>
        </c:scaling>
        <c:axPos val="b"/>
        <c:majorGridlines/>
        <c:numFmt formatCode="General" sourceLinked="1"/>
        <c:tickLblPos val="nextTo"/>
        <c:crossAx val="68638208"/>
        <c:crosses val="autoZero"/>
        <c:crossBetween val="between"/>
      </c:valAx>
    </c:plotArea>
    <c:plotVisOnly val="1"/>
    <c:dispBlanksAs val="gap"/>
  </c:chart>
  <c:spPr>
    <a:ln w="19050"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2</cp:revision>
  <cp:lastPrinted>2016-04-11T16:23:00Z</cp:lastPrinted>
  <dcterms:created xsi:type="dcterms:W3CDTF">2016-04-12T06:55:00Z</dcterms:created>
  <dcterms:modified xsi:type="dcterms:W3CDTF">2016-04-12T06:55:00Z</dcterms:modified>
</cp:coreProperties>
</file>